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975"/>
        <w:gridCol w:w="2610"/>
        <w:gridCol w:w="2610"/>
        <w:gridCol w:w="2520"/>
        <w:gridCol w:w="2250"/>
        <w:gridCol w:w="2425"/>
      </w:tblGrid>
      <w:tr w:rsidR="00EC740E" w:rsidRPr="00536B63" w14:paraId="1BDF19ED" w14:textId="77777777" w:rsidTr="007028E2">
        <w:trPr>
          <w:trHeight w:val="435"/>
          <w:tblHeader/>
        </w:trPr>
        <w:tc>
          <w:tcPr>
            <w:tcW w:w="1975" w:type="dxa"/>
            <w:shd w:val="clear" w:color="auto" w:fill="D0CECE" w:themeFill="background2" w:themeFillShade="E6"/>
          </w:tcPr>
          <w:p w14:paraId="3D020D1B" w14:textId="77777777" w:rsidR="00536B63" w:rsidRPr="00DB4144" w:rsidRDefault="00536B63" w:rsidP="00A84532">
            <w:pPr>
              <w:jc w:val="center"/>
              <w:rPr>
                <w:b/>
                <w:sz w:val="18"/>
                <w:szCs w:val="18"/>
              </w:rPr>
            </w:pPr>
          </w:p>
        </w:tc>
        <w:tc>
          <w:tcPr>
            <w:tcW w:w="2610" w:type="dxa"/>
            <w:shd w:val="clear" w:color="auto" w:fill="D0CECE" w:themeFill="background2" w:themeFillShade="E6"/>
          </w:tcPr>
          <w:p w14:paraId="12BD9A74" w14:textId="77777777" w:rsidR="00536B63" w:rsidRPr="00DB4144" w:rsidRDefault="00536B63" w:rsidP="00A84532">
            <w:pPr>
              <w:jc w:val="center"/>
              <w:rPr>
                <w:b/>
                <w:sz w:val="18"/>
                <w:szCs w:val="18"/>
              </w:rPr>
            </w:pPr>
            <w:r w:rsidRPr="00DB4144">
              <w:rPr>
                <w:b/>
                <w:sz w:val="18"/>
                <w:szCs w:val="18"/>
              </w:rPr>
              <w:t>WEAI</w:t>
            </w:r>
          </w:p>
        </w:tc>
        <w:tc>
          <w:tcPr>
            <w:tcW w:w="2610" w:type="dxa"/>
            <w:shd w:val="clear" w:color="auto" w:fill="D0CECE" w:themeFill="background2" w:themeFillShade="E6"/>
          </w:tcPr>
          <w:p w14:paraId="0EDB1F39" w14:textId="77777777" w:rsidR="00536B63" w:rsidRPr="00DB4144" w:rsidRDefault="00536B63" w:rsidP="00A84532">
            <w:pPr>
              <w:jc w:val="center"/>
              <w:rPr>
                <w:b/>
                <w:sz w:val="18"/>
                <w:szCs w:val="18"/>
              </w:rPr>
            </w:pPr>
            <w:r w:rsidRPr="00DB4144">
              <w:rPr>
                <w:b/>
                <w:sz w:val="18"/>
                <w:szCs w:val="18"/>
              </w:rPr>
              <w:t>A-WEAI</w:t>
            </w:r>
          </w:p>
        </w:tc>
        <w:tc>
          <w:tcPr>
            <w:tcW w:w="2520" w:type="dxa"/>
            <w:shd w:val="clear" w:color="auto" w:fill="D0CECE" w:themeFill="background2" w:themeFillShade="E6"/>
          </w:tcPr>
          <w:p w14:paraId="07498156" w14:textId="77777777" w:rsidR="00536B63" w:rsidRPr="00DB4144" w:rsidRDefault="00536B63" w:rsidP="00A84532">
            <w:pPr>
              <w:jc w:val="center"/>
              <w:rPr>
                <w:b/>
                <w:sz w:val="18"/>
                <w:szCs w:val="18"/>
              </w:rPr>
            </w:pPr>
            <w:r w:rsidRPr="00DB4144">
              <w:rPr>
                <w:b/>
                <w:sz w:val="18"/>
                <w:szCs w:val="18"/>
              </w:rPr>
              <w:t>Pro-WEAI</w:t>
            </w:r>
          </w:p>
        </w:tc>
        <w:tc>
          <w:tcPr>
            <w:tcW w:w="2250" w:type="dxa"/>
            <w:shd w:val="clear" w:color="auto" w:fill="D0CECE" w:themeFill="background2" w:themeFillShade="E6"/>
          </w:tcPr>
          <w:p w14:paraId="29F3797D" w14:textId="2FAAA6C2" w:rsidR="00536B63" w:rsidRPr="00DB4144" w:rsidRDefault="00FD163F" w:rsidP="00A84532">
            <w:pPr>
              <w:jc w:val="center"/>
              <w:rPr>
                <w:b/>
                <w:sz w:val="18"/>
                <w:szCs w:val="18"/>
              </w:rPr>
            </w:pPr>
            <w:r>
              <w:rPr>
                <w:b/>
                <w:sz w:val="18"/>
                <w:szCs w:val="18"/>
              </w:rPr>
              <w:t>Pro-WEAI+MI</w:t>
            </w:r>
          </w:p>
        </w:tc>
        <w:tc>
          <w:tcPr>
            <w:tcW w:w="2425" w:type="dxa"/>
            <w:shd w:val="clear" w:color="auto" w:fill="D0CECE" w:themeFill="background2" w:themeFillShade="E6"/>
          </w:tcPr>
          <w:p w14:paraId="7C88818E" w14:textId="77777777" w:rsidR="00536B63" w:rsidRPr="00DB4144" w:rsidRDefault="00536B63" w:rsidP="00A84532">
            <w:pPr>
              <w:jc w:val="center"/>
              <w:rPr>
                <w:b/>
                <w:sz w:val="18"/>
                <w:szCs w:val="18"/>
              </w:rPr>
            </w:pPr>
            <w:r w:rsidRPr="00DB4144">
              <w:rPr>
                <w:b/>
                <w:sz w:val="18"/>
                <w:szCs w:val="18"/>
              </w:rPr>
              <w:t>Ad-hoc</w:t>
            </w:r>
          </w:p>
        </w:tc>
      </w:tr>
      <w:tr w:rsidR="00EC740E" w:rsidRPr="00536B63" w14:paraId="2A674F48" w14:textId="77777777" w:rsidTr="007028E2">
        <w:trPr>
          <w:trHeight w:val="5490"/>
        </w:trPr>
        <w:tc>
          <w:tcPr>
            <w:tcW w:w="1975" w:type="dxa"/>
          </w:tcPr>
          <w:p w14:paraId="58F25DF5" w14:textId="77777777" w:rsidR="00536B63" w:rsidRPr="007028E2" w:rsidRDefault="00536B63" w:rsidP="00536B63">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Background</w:t>
            </w:r>
          </w:p>
          <w:p w14:paraId="650B5712" w14:textId="77777777" w:rsidR="00536B63" w:rsidRPr="007028E2" w:rsidRDefault="00536B63" w:rsidP="00536B63">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and</w:t>
            </w:r>
          </w:p>
          <w:p w14:paraId="7F1829EC" w14:textId="77777777" w:rsidR="00536B63" w:rsidRPr="007028E2" w:rsidRDefault="00536B63" w:rsidP="00536B63">
            <w:pPr>
              <w:rPr>
                <w:sz w:val="18"/>
                <w:szCs w:val="18"/>
              </w:rPr>
            </w:pPr>
            <w:r w:rsidRPr="007028E2">
              <w:rPr>
                <w:rFonts w:ascii="Calibri-Light" w:hAnsi="Calibri-Light" w:cs="Calibri-Light"/>
                <w:sz w:val="18"/>
                <w:szCs w:val="18"/>
              </w:rPr>
              <w:t>description</w:t>
            </w:r>
          </w:p>
        </w:tc>
        <w:tc>
          <w:tcPr>
            <w:tcW w:w="2610" w:type="dxa"/>
          </w:tcPr>
          <w:p w14:paraId="5D0D4183" w14:textId="77777777" w:rsidR="00536B63" w:rsidRPr="007028E2" w:rsidRDefault="00536B63" w:rsidP="00536B63">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This is the first, original</w:t>
            </w:r>
            <w:r w:rsidR="00EC740E" w:rsidRPr="007028E2">
              <w:rPr>
                <w:rFonts w:ascii="Calibri-Light" w:hAnsi="Calibri-Light" w:cs="Calibri-Light"/>
                <w:sz w:val="18"/>
                <w:szCs w:val="18"/>
              </w:rPr>
              <w:t xml:space="preserve"> </w:t>
            </w:r>
            <w:r w:rsidRPr="007028E2">
              <w:rPr>
                <w:rFonts w:ascii="Calibri-Light" w:hAnsi="Calibri-Light" w:cs="Calibri-Light"/>
                <w:sz w:val="18"/>
                <w:szCs w:val="18"/>
              </w:rPr>
              <w:t>version of the WEAI. It was</w:t>
            </w:r>
            <w:r w:rsidR="00EC740E" w:rsidRPr="007028E2">
              <w:rPr>
                <w:rFonts w:ascii="Calibri-Light" w:hAnsi="Calibri-Light" w:cs="Calibri-Light"/>
                <w:sz w:val="18"/>
                <w:szCs w:val="18"/>
              </w:rPr>
              <w:t xml:space="preserve"> </w:t>
            </w:r>
            <w:r w:rsidRPr="007028E2">
              <w:rPr>
                <w:rFonts w:ascii="Calibri-Light" w:hAnsi="Calibri-Light" w:cs="Calibri-Light"/>
                <w:sz w:val="18"/>
                <w:szCs w:val="18"/>
              </w:rPr>
              <w:t>piloted in 2011 in Uganda,</w:t>
            </w:r>
            <w:r w:rsidR="00EC740E" w:rsidRPr="007028E2">
              <w:rPr>
                <w:rFonts w:ascii="Calibri-Light" w:hAnsi="Calibri-Light" w:cs="Calibri-Light"/>
                <w:sz w:val="18"/>
                <w:szCs w:val="18"/>
              </w:rPr>
              <w:t xml:space="preserve"> </w:t>
            </w:r>
            <w:r w:rsidRPr="007028E2">
              <w:rPr>
                <w:rFonts w:ascii="Calibri-Light" w:hAnsi="Calibri-Light" w:cs="Calibri-Light"/>
                <w:sz w:val="18"/>
                <w:szCs w:val="18"/>
              </w:rPr>
              <w:t>Bangladesh, and Guatemala</w:t>
            </w:r>
            <w:r w:rsidR="00EC740E" w:rsidRPr="007028E2">
              <w:rPr>
                <w:rFonts w:ascii="Calibri-Light" w:hAnsi="Calibri-Light" w:cs="Calibri-Light"/>
                <w:sz w:val="18"/>
                <w:szCs w:val="18"/>
              </w:rPr>
              <w:t xml:space="preserve"> </w:t>
            </w:r>
            <w:r w:rsidRPr="007028E2">
              <w:rPr>
                <w:rFonts w:ascii="Calibri-Light" w:hAnsi="Calibri-Light" w:cs="Calibri-Light"/>
                <w:sz w:val="18"/>
                <w:szCs w:val="18"/>
              </w:rPr>
              <w:t>and was formally launched in</w:t>
            </w:r>
            <w:r w:rsidR="00EC740E" w:rsidRPr="007028E2">
              <w:rPr>
                <w:rFonts w:ascii="Calibri-Light" w:hAnsi="Calibri-Light" w:cs="Calibri-Light"/>
                <w:sz w:val="18"/>
                <w:szCs w:val="18"/>
              </w:rPr>
              <w:t xml:space="preserve"> </w:t>
            </w:r>
            <w:r w:rsidRPr="007028E2">
              <w:rPr>
                <w:rFonts w:ascii="Calibri-Light" w:hAnsi="Calibri-Light" w:cs="Calibri-Light"/>
                <w:sz w:val="18"/>
                <w:szCs w:val="18"/>
              </w:rPr>
              <w:t>2012. It was included in the</w:t>
            </w:r>
            <w:r w:rsidR="00EC740E" w:rsidRPr="007028E2">
              <w:rPr>
                <w:rFonts w:ascii="Calibri-Light" w:hAnsi="Calibri-Light" w:cs="Calibri-Light"/>
                <w:sz w:val="18"/>
                <w:szCs w:val="18"/>
              </w:rPr>
              <w:t xml:space="preserve"> </w:t>
            </w:r>
            <w:r w:rsidRPr="007028E2">
              <w:rPr>
                <w:rFonts w:ascii="Calibri-Light" w:hAnsi="Calibri-Light" w:cs="Calibri-Light"/>
                <w:sz w:val="18"/>
                <w:szCs w:val="18"/>
              </w:rPr>
              <w:t>19 Feed the Future Baseline</w:t>
            </w:r>
          </w:p>
          <w:p w14:paraId="60972551" w14:textId="77777777" w:rsidR="00536B63" w:rsidRPr="007028E2" w:rsidRDefault="00536B63" w:rsidP="00536B63">
            <w:pPr>
              <w:rPr>
                <w:sz w:val="18"/>
                <w:szCs w:val="18"/>
              </w:rPr>
            </w:pPr>
            <w:r w:rsidRPr="007028E2">
              <w:rPr>
                <w:rFonts w:ascii="Calibri-Light" w:hAnsi="Calibri-Light" w:cs="Calibri-Light"/>
                <w:sz w:val="18"/>
                <w:szCs w:val="18"/>
              </w:rPr>
              <w:t>surveys.</w:t>
            </w:r>
          </w:p>
        </w:tc>
        <w:tc>
          <w:tcPr>
            <w:tcW w:w="2610" w:type="dxa"/>
          </w:tcPr>
          <w:p w14:paraId="217F6F64" w14:textId="77777777" w:rsidR="00536B63" w:rsidRPr="007028E2" w:rsidRDefault="00536B63" w:rsidP="00536B63">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Stands for “Abbreviated WEAI”.</w:t>
            </w:r>
            <w:r w:rsidR="00EC740E" w:rsidRPr="007028E2">
              <w:rPr>
                <w:rFonts w:ascii="Calibri-Light" w:hAnsi="Calibri-Light" w:cs="Calibri-Light"/>
                <w:sz w:val="18"/>
                <w:szCs w:val="18"/>
              </w:rPr>
              <w:t xml:space="preserve"> </w:t>
            </w:r>
            <w:r w:rsidRPr="007028E2">
              <w:rPr>
                <w:rFonts w:ascii="Calibri-Light" w:hAnsi="Calibri-Light" w:cs="Calibri-Light"/>
                <w:sz w:val="18"/>
                <w:szCs w:val="18"/>
              </w:rPr>
              <w:t>It was developed to shorten the</w:t>
            </w:r>
            <w:r w:rsidR="00EC740E" w:rsidRPr="007028E2">
              <w:rPr>
                <w:rFonts w:ascii="Calibri-Light" w:hAnsi="Calibri-Light" w:cs="Calibri-Light"/>
                <w:sz w:val="18"/>
                <w:szCs w:val="18"/>
              </w:rPr>
              <w:t xml:space="preserve"> </w:t>
            </w:r>
            <w:r w:rsidRPr="007028E2">
              <w:rPr>
                <w:rFonts w:ascii="Calibri-Light" w:hAnsi="Calibri-Light" w:cs="Calibri-Light"/>
                <w:sz w:val="18"/>
                <w:szCs w:val="18"/>
              </w:rPr>
              <w:t>time to implement the WEAI</w:t>
            </w:r>
          </w:p>
          <w:p w14:paraId="30E11670" w14:textId="77777777" w:rsidR="00536B63" w:rsidRPr="007028E2" w:rsidRDefault="00536B63" w:rsidP="00EC740E">
            <w:pPr>
              <w:autoSpaceDE w:val="0"/>
              <w:autoSpaceDN w:val="0"/>
              <w:adjustRightInd w:val="0"/>
              <w:rPr>
                <w:sz w:val="18"/>
                <w:szCs w:val="18"/>
              </w:rPr>
            </w:pPr>
            <w:r w:rsidRPr="007028E2">
              <w:rPr>
                <w:rFonts w:ascii="Calibri-Light" w:hAnsi="Calibri-Light" w:cs="Calibri-Light"/>
                <w:sz w:val="18"/>
                <w:szCs w:val="18"/>
              </w:rPr>
              <w:t>interviews by roughly 30% and</w:t>
            </w:r>
            <w:r w:rsidR="00EC740E" w:rsidRPr="007028E2">
              <w:rPr>
                <w:rFonts w:ascii="Calibri-Light" w:hAnsi="Calibri-Light" w:cs="Calibri-Light"/>
                <w:sz w:val="18"/>
                <w:szCs w:val="18"/>
              </w:rPr>
              <w:t xml:space="preserve"> </w:t>
            </w:r>
            <w:r w:rsidRPr="007028E2">
              <w:rPr>
                <w:rFonts w:ascii="Calibri-Light" w:hAnsi="Calibri-Light" w:cs="Calibri-Light"/>
                <w:sz w:val="18"/>
                <w:szCs w:val="18"/>
              </w:rPr>
              <w:t>to address challenges that had</w:t>
            </w:r>
            <w:r w:rsidR="00EC740E" w:rsidRPr="007028E2">
              <w:rPr>
                <w:rFonts w:ascii="Calibri-Light" w:hAnsi="Calibri-Light" w:cs="Calibri-Light"/>
                <w:sz w:val="18"/>
                <w:szCs w:val="18"/>
              </w:rPr>
              <w:t xml:space="preserve"> </w:t>
            </w:r>
            <w:r w:rsidRPr="007028E2">
              <w:rPr>
                <w:rFonts w:ascii="Calibri-Light" w:hAnsi="Calibri-Light" w:cs="Calibri-Light"/>
                <w:sz w:val="18"/>
                <w:szCs w:val="18"/>
              </w:rPr>
              <w:t>arisen during the baseline</w:t>
            </w:r>
            <w:r w:rsidR="00EC740E" w:rsidRPr="007028E2">
              <w:rPr>
                <w:rFonts w:ascii="Calibri-Light" w:hAnsi="Calibri-Light" w:cs="Calibri-Light"/>
                <w:sz w:val="18"/>
                <w:szCs w:val="18"/>
              </w:rPr>
              <w:t xml:space="preserve"> </w:t>
            </w:r>
            <w:r w:rsidRPr="007028E2">
              <w:rPr>
                <w:rFonts w:ascii="Calibri-Light" w:hAnsi="Calibri-Light" w:cs="Calibri-Light"/>
                <w:sz w:val="18"/>
                <w:szCs w:val="18"/>
              </w:rPr>
              <w:t>surveys of the original WEAI. It</w:t>
            </w:r>
            <w:r w:rsidR="00EC740E" w:rsidRPr="007028E2">
              <w:rPr>
                <w:rFonts w:ascii="Calibri-Light" w:hAnsi="Calibri-Light" w:cs="Calibri-Light"/>
                <w:sz w:val="18"/>
                <w:szCs w:val="18"/>
              </w:rPr>
              <w:t xml:space="preserve"> </w:t>
            </w:r>
            <w:r w:rsidRPr="007028E2">
              <w:rPr>
                <w:rFonts w:ascii="Calibri-Light" w:hAnsi="Calibri-Light" w:cs="Calibri-Light"/>
                <w:sz w:val="18"/>
                <w:szCs w:val="18"/>
              </w:rPr>
              <w:t>was piloted in Uganda and</w:t>
            </w:r>
            <w:r w:rsidR="00EC740E" w:rsidRPr="007028E2">
              <w:rPr>
                <w:rFonts w:ascii="Calibri-Light" w:hAnsi="Calibri-Light" w:cs="Calibri-Light"/>
                <w:sz w:val="18"/>
                <w:szCs w:val="18"/>
              </w:rPr>
              <w:t xml:space="preserve"> </w:t>
            </w:r>
            <w:r w:rsidRPr="007028E2">
              <w:rPr>
                <w:rFonts w:ascii="Calibri-Light" w:hAnsi="Calibri-Light" w:cs="Calibri-Light"/>
                <w:sz w:val="18"/>
                <w:szCs w:val="18"/>
              </w:rPr>
              <w:t>Bangladesh in 2014 and</w:t>
            </w:r>
            <w:r w:rsidR="00EC740E" w:rsidRPr="007028E2">
              <w:rPr>
                <w:rFonts w:ascii="Calibri-Light" w:hAnsi="Calibri-Light" w:cs="Calibri-Light"/>
                <w:sz w:val="18"/>
                <w:szCs w:val="18"/>
              </w:rPr>
              <w:t xml:space="preserve"> </w:t>
            </w:r>
            <w:r w:rsidRPr="007028E2">
              <w:rPr>
                <w:rFonts w:ascii="Calibri-Light" w:hAnsi="Calibri-Light" w:cs="Calibri-Light"/>
                <w:sz w:val="18"/>
                <w:szCs w:val="18"/>
              </w:rPr>
              <w:t>formally launched in 2015.</w:t>
            </w:r>
          </w:p>
        </w:tc>
        <w:tc>
          <w:tcPr>
            <w:tcW w:w="2520" w:type="dxa"/>
          </w:tcPr>
          <w:p w14:paraId="462688A0" w14:textId="599CD73D" w:rsidR="00536B63" w:rsidRPr="007028E2" w:rsidRDefault="00536B63" w:rsidP="00536B63">
            <w:pPr>
              <w:autoSpaceDE w:val="0"/>
              <w:autoSpaceDN w:val="0"/>
              <w:adjustRightInd w:val="0"/>
              <w:rPr>
                <w:rFonts w:ascii="Calibri-Light" w:hAnsi="Calibri-Light" w:cs="Calibri-Light"/>
                <w:sz w:val="18"/>
                <w:szCs w:val="18"/>
              </w:rPr>
            </w:pPr>
            <w:r w:rsidRPr="007028E2">
              <w:rPr>
                <w:rFonts w:ascii="Calibri-Light" w:hAnsi="Calibri-Light" w:cs="Calibri-Light"/>
                <w:b/>
                <w:sz w:val="18"/>
                <w:szCs w:val="18"/>
              </w:rPr>
              <w:t>Under development</w:t>
            </w:r>
            <w:r w:rsidRPr="007028E2">
              <w:rPr>
                <w:rFonts w:ascii="Calibri-Light" w:hAnsi="Calibri-Light" w:cs="Calibri-Light"/>
                <w:sz w:val="18"/>
                <w:szCs w:val="18"/>
              </w:rPr>
              <w:t>. Stands for</w:t>
            </w:r>
            <w:r w:rsidR="00EC740E" w:rsidRPr="007028E2">
              <w:rPr>
                <w:rFonts w:ascii="Calibri-Light" w:hAnsi="Calibri-Light" w:cs="Calibri-Light"/>
                <w:sz w:val="18"/>
                <w:szCs w:val="18"/>
              </w:rPr>
              <w:t xml:space="preserve"> </w:t>
            </w:r>
            <w:r w:rsidRPr="007028E2">
              <w:rPr>
                <w:rFonts w:ascii="Calibri-Light" w:hAnsi="Calibri-Light" w:cs="Calibri-Light"/>
                <w:sz w:val="18"/>
                <w:szCs w:val="18"/>
              </w:rPr>
              <w:t>“Project</w:t>
            </w:r>
            <w:r w:rsidR="00DB4144">
              <w:rPr>
                <w:rFonts w:ascii="Calibri-Light" w:hAnsi="Calibri-Light" w:cs="Calibri-Light"/>
                <w:sz w:val="18"/>
                <w:szCs w:val="18"/>
              </w:rPr>
              <w:t xml:space="preserve">-level </w:t>
            </w:r>
            <w:r w:rsidRPr="007028E2">
              <w:rPr>
                <w:rFonts w:ascii="Calibri-Light" w:hAnsi="Calibri-Light" w:cs="Calibri-Light"/>
                <w:sz w:val="18"/>
                <w:szCs w:val="18"/>
              </w:rPr>
              <w:t>WEAI”</w:t>
            </w:r>
            <w:r w:rsidR="00A84532" w:rsidRPr="007028E2">
              <w:rPr>
                <w:rFonts w:ascii="Calibri-Light" w:hAnsi="Calibri-Light" w:cs="Calibri-Light"/>
                <w:sz w:val="18"/>
                <w:szCs w:val="18"/>
              </w:rPr>
              <w:t xml:space="preserve">. </w:t>
            </w:r>
            <w:r w:rsidR="00EC740E" w:rsidRPr="007028E2">
              <w:rPr>
                <w:rFonts w:ascii="Calibri-Light" w:hAnsi="Calibri-Light" w:cs="Calibri-Light"/>
                <w:sz w:val="18"/>
                <w:szCs w:val="18"/>
              </w:rPr>
              <w:t xml:space="preserve">Builds on the </w:t>
            </w:r>
            <w:r w:rsidR="00DB4144">
              <w:rPr>
                <w:rFonts w:ascii="Calibri-Light" w:hAnsi="Calibri-Light" w:cs="Calibri-Light"/>
                <w:sz w:val="18"/>
                <w:szCs w:val="18"/>
              </w:rPr>
              <w:t>A-</w:t>
            </w:r>
            <w:r w:rsidR="00EC740E" w:rsidRPr="007028E2">
              <w:rPr>
                <w:rFonts w:ascii="Calibri-Light" w:hAnsi="Calibri-Light" w:cs="Calibri-Light"/>
                <w:sz w:val="18"/>
                <w:szCs w:val="18"/>
              </w:rPr>
              <w:t xml:space="preserve">WEAI, but with more explicit links to empowerment theory and adapts it for use as a metric for measuring the impact of agriculture development projects on women’s empowerment, as well as a diagnostic tool for tailoring such programs to specific settings. </w:t>
            </w:r>
            <w:r w:rsidRPr="007028E2">
              <w:rPr>
                <w:rFonts w:ascii="Calibri-Light" w:hAnsi="Calibri-Light" w:cs="Calibri-Light"/>
                <w:sz w:val="18"/>
                <w:szCs w:val="18"/>
              </w:rPr>
              <w:t>Intended to be</w:t>
            </w:r>
            <w:r w:rsidR="00EC740E" w:rsidRPr="007028E2">
              <w:rPr>
                <w:rFonts w:ascii="Calibri-Light" w:hAnsi="Calibri-Light" w:cs="Calibri-Light"/>
                <w:sz w:val="18"/>
                <w:szCs w:val="18"/>
              </w:rPr>
              <w:t xml:space="preserve"> </w:t>
            </w:r>
            <w:r w:rsidRPr="007028E2">
              <w:rPr>
                <w:rFonts w:ascii="Calibri-Light" w:hAnsi="Calibri-Light" w:cs="Calibri-Light"/>
                <w:sz w:val="18"/>
                <w:szCs w:val="18"/>
              </w:rPr>
              <w:t>applicable to various types of</w:t>
            </w:r>
            <w:r w:rsidR="00EC740E" w:rsidRPr="007028E2">
              <w:rPr>
                <w:rFonts w:ascii="Calibri-Light" w:hAnsi="Calibri-Light" w:cs="Calibri-Light"/>
                <w:sz w:val="18"/>
                <w:szCs w:val="18"/>
              </w:rPr>
              <w:t xml:space="preserve"> </w:t>
            </w:r>
            <w:r w:rsidRPr="007028E2">
              <w:rPr>
                <w:rFonts w:ascii="Calibri-Light" w:hAnsi="Calibri-Light" w:cs="Calibri-Light"/>
                <w:sz w:val="18"/>
                <w:szCs w:val="18"/>
              </w:rPr>
              <w:t>agriculture and food security</w:t>
            </w:r>
            <w:r w:rsidR="00EC740E" w:rsidRPr="007028E2">
              <w:rPr>
                <w:rFonts w:ascii="Calibri-Light" w:hAnsi="Calibri-Light" w:cs="Calibri-Light"/>
                <w:sz w:val="18"/>
                <w:szCs w:val="18"/>
              </w:rPr>
              <w:t xml:space="preserve"> </w:t>
            </w:r>
            <w:r w:rsidRPr="007028E2">
              <w:rPr>
                <w:rFonts w:ascii="Calibri-Light" w:hAnsi="Calibri-Light" w:cs="Calibri-Light"/>
                <w:sz w:val="18"/>
                <w:szCs w:val="18"/>
              </w:rPr>
              <w:t>projects</w:t>
            </w:r>
            <w:r w:rsidR="00EC740E" w:rsidRPr="007028E2">
              <w:rPr>
                <w:rFonts w:ascii="Calibri-Light" w:hAnsi="Calibri-Light" w:cs="Calibri-Light"/>
                <w:sz w:val="18"/>
                <w:szCs w:val="18"/>
              </w:rPr>
              <w:t>.</w:t>
            </w:r>
            <w:r w:rsidRPr="007028E2">
              <w:rPr>
                <w:rFonts w:ascii="Calibri-Light" w:hAnsi="Calibri-Light" w:cs="Calibri-Light"/>
                <w:sz w:val="18"/>
                <w:szCs w:val="18"/>
              </w:rPr>
              <w:t xml:space="preserve"> </w:t>
            </w:r>
            <w:r w:rsidR="00EC740E" w:rsidRPr="007028E2">
              <w:rPr>
                <w:rFonts w:ascii="Calibri-Light" w:hAnsi="Calibri-Light" w:cs="Calibri-Light"/>
                <w:sz w:val="18"/>
                <w:szCs w:val="18"/>
              </w:rPr>
              <w:t>A</w:t>
            </w:r>
            <w:r w:rsidRPr="007028E2">
              <w:rPr>
                <w:rFonts w:ascii="Calibri-Light" w:hAnsi="Calibri-Light" w:cs="Calibri-Light"/>
                <w:sz w:val="18"/>
                <w:szCs w:val="18"/>
              </w:rPr>
              <w:t>dds</w:t>
            </w:r>
          </w:p>
          <w:p w14:paraId="4F5435F8" w14:textId="77777777" w:rsidR="00EC740E" w:rsidRPr="007028E2" w:rsidRDefault="00536B63" w:rsidP="00EC740E">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specialized project‐relevant</w:t>
            </w:r>
            <w:r w:rsidR="00EC740E" w:rsidRPr="007028E2">
              <w:rPr>
                <w:rFonts w:ascii="Calibri-Light" w:hAnsi="Calibri-Light" w:cs="Calibri-Light"/>
                <w:sz w:val="18"/>
                <w:szCs w:val="18"/>
              </w:rPr>
              <w:t xml:space="preserve"> </w:t>
            </w:r>
            <w:r w:rsidRPr="007028E2">
              <w:rPr>
                <w:rFonts w:ascii="Calibri-Light" w:hAnsi="Calibri-Light" w:cs="Calibri-Light"/>
                <w:sz w:val="18"/>
                <w:szCs w:val="18"/>
              </w:rPr>
              <w:t>modules</w:t>
            </w:r>
            <w:r w:rsidR="00EC740E" w:rsidRPr="007028E2">
              <w:rPr>
                <w:rFonts w:ascii="Calibri-Light" w:hAnsi="Calibri-Light" w:cs="Calibri-Light"/>
                <w:sz w:val="18"/>
                <w:szCs w:val="18"/>
              </w:rPr>
              <w:t xml:space="preserve"> such as a Health &amp; Nutrition module and Enhanced Livestock module that aim to capture agency in these topics</w:t>
            </w:r>
            <w:r w:rsidRPr="007028E2">
              <w:rPr>
                <w:rFonts w:ascii="Calibri-Light" w:hAnsi="Calibri-Light" w:cs="Calibri-Light"/>
                <w:sz w:val="18"/>
                <w:szCs w:val="18"/>
              </w:rPr>
              <w:t>.</w:t>
            </w:r>
            <w:r w:rsidR="00EC740E" w:rsidRPr="007028E2">
              <w:rPr>
                <w:rFonts w:ascii="Calibri-Light" w:hAnsi="Calibri-Light" w:cs="Calibri-Light"/>
                <w:sz w:val="18"/>
                <w:szCs w:val="18"/>
              </w:rPr>
              <w:t xml:space="preserve"> More information on the development of the pro-WEAI is available </w:t>
            </w:r>
            <w:hyperlink r:id="rId6" w:history="1">
              <w:r w:rsidR="00EC740E" w:rsidRPr="007028E2">
                <w:rPr>
                  <w:rStyle w:val="Hyperlink"/>
                  <w:rFonts w:ascii="Calibri-Light" w:hAnsi="Calibri-Light" w:cs="Calibri-Light"/>
                  <w:sz w:val="18"/>
                  <w:szCs w:val="18"/>
                </w:rPr>
                <w:t>here</w:t>
              </w:r>
            </w:hyperlink>
            <w:r w:rsidR="00EC740E" w:rsidRPr="007028E2">
              <w:rPr>
                <w:rFonts w:ascii="Calibri-Light" w:hAnsi="Calibri-Light" w:cs="Calibri-Light"/>
                <w:sz w:val="18"/>
                <w:szCs w:val="18"/>
              </w:rPr>
              <w:t>.</w:t>
            </w:r>
          </w:p>
        </w:tc>
        <w:tc>
          <w:tcPr>
            <w:tcW w:w="2250" w:type="dxa"/>
          </w:tcPr>
          <w:p w14:paraId="6CA74EBF" w14:textId="69A6A320" w:rsidR="00536B63" w:rsidRPr="007028E2" w:rsidRDefault="00A84532">
            <w:pPr>
              <w:rPr>
                <w:sz w:val="18"/>
                <w:szCs w:val="18"/>
              </w:rPr>
            </w:pPr>
            <w:r w:rsidRPr="007028E2">
              <w:rPr>
                <w:b/>
                <w:sz w:val="18"/>
                <w:szCs w:val="18"/>
              </w:rPr>
              <w:t xml:space="preserve">Under development. </w:t>
            </w:r>
            <w:r w:rsidRPr="007028E2">
              <w:rPr>
                <w:sz w:val="18"/>
                <w:szCs w:val="18"/>
              </w:rPr>
              <w:t>Measures empowerment across the agricultural value chain. Pilot studies in Bangladesh and the Philippines assessed empowerment of men and women in different value chains and as different types of value chain actors. Current pilot testing in Benin and Malawi</w:t>
            </w:r>
            <w:r w:rsidR="00C31711">
              <w:rPr>
                <w:sz w:val="18"/>
                <w:szCs w:val="18"/>
              </w:rPr>
              <w:t xml:space="preserve"> is underway</w:t>
            </w:r>
            <w:r w:rsidRPr="007028E2">
              <w:rPr>
                <w:sz w:val="18"/>
                <w:szCs w:val="18"/>
              </w:rPr>
              <w:t>. Builds on the pro-WEAI with additional value-chain specific indicators under development and validation.</w:t>
            </w:r>
          </w:p>
        </w:tc>
        <w:tc>
          <w:tcPr>
            <w:tcW w:w="2425" w:type="dxa"/>
          </w:tcPr>
          <w:p w14:paraId="6984E58D" w14:textId="4657AD0C" w:rsidR="00536B63" w:rsidRPr="007028E2" w:rsidRDefault="00536B63" w:rsidP="007028E2">
            <w:pPr>
              <w:autoSpaceDE w:val="0"/>
              <w:autoSpaceDN w:val="0"/>
              <w:adjustRightInd w:val="0"/>
              <w:rPr>
                <w:sz w:val="18"/>
                <w:szCs w:val="18"/>
              </w:rPr>
            </w:pPr>
            <w:r w:rsidRPr="00DB4144">
              <w:rPr>
                <w:rFonts w:ascii="Calibri-Light" w:hAnsi="Calibri-Light" w:cs="Calibri-Light"/>
                <w:sz w:val="18"/>
                <w:szCs w:val="18"/>
              </w:rPr>
              <w:t xml:space="preserve">Independent </w:t>
            </w:r>
            <w:r w:rsidR="00EC740E" w:rsidRPr="00DB4144">
              <w:rPr>
                <w:rFonts w:ascii="Calibri-Light" w:hAnsi="Calibri-Light" w:cs="Calibri-Light"/>
                <w:sz w:val="18"/>
                <w:szCs w:val="18"/>
              </w:rPr>
              <w:t>a</w:t>
            </w:r>
            <w:r w:rsidRPr="00DB4144">
              <w:rPr>
                <w:rFonts w:ascii="Calibri-Light" w:hAnsi="Calibri-Light" w:cs="Calibri-Light"/>
                <w:sz w:val="18"/>
                <w:szCs w:val="18"/>
              </w:rPr>
              <w:t>daptations of</w:t>
            </w:r>
            <w:r w:rsidR="00EC740E" w:rsidRPr="00DB4144">
              <w:rPr>
                <w:rFonts w:ascii="Calibri-Light" w:hAnsi="Calibri-Light" w:cs="Calibri-Light"/>
                <w:sz w:val="18"/>
                <w:szCs w:val="18"/>
              </w:rPr>
              <w:t xml:space="preserve"> </w:t>
            </w:r>
            <w:r w:rsidRPr="00DB4144">
              <w:rPr>
                <w:rFonts w:ascii="Calibri-Light" w:hAnsi="Calibri-Light" w:cs="Calibri-Light"/>
                <w:sz w:val="18"/>
                <w:szCs w:val="18"/>
              </w:rPr>
              <w:t>the WEAI that aim to measure</w:t>
            </w:r>
            <w:r w:rsidR="00EC740E" w:rsidRPr="00DB4144">
              <w:rPr>
                <w:rFonts w:ascii="Calibri-Light" w:hAnsi="Calibri-Light" w:cs="Calibri-Light"/>
                <w:sz w:val="18"/>
                <w:szCs w:val="18"/>
              </w:rPr>
              <w:t xml:space="preserve"> </w:t>
            </w:r>
            <w:r w:rsidRPr="00DB4144">
              <w:rPr>
                <w:rFonts w:ascii="Calibri-Light" w:hAnsi="Calibri-Light" w:cs="Calibri-Light"/>
                <w:sz w:val="18"/>
                <w:szCs w:val="18"/>
              </w:rPr>
              <w:t>empowerment using the WEAI</w:t>
            </w:r>
            <w:r w:rsidR="00EC740E" w:rsidRPr="00DB4144">
              <w:rPr>
                <w:rFonts w:ascii="Calibri-Light" w:hAnsi="Calibri-Light" w:cs="Calibri-Light"/>
                <w:sz w:val="18"/>
                <w:szCs w:val="18"/>
              </w:rPr>
              <w:t xml:space="preserve"> </w:t>
            </w:r>
            <w:r w:rsidRPr="00DB4144">
              <w:rPr>
                <w:rFonts w:ascii="Calibri-Light" w:hAnsi="Calibri-Light" w:cs="Calibri-Light"/>
                <w:sz w:val="18"/>
                <w:szCs w:val="18"/>
              </w:rPr>
              <w:t>as a</w:t>
            </w:r>
            <w:r w:rsidR="007028E2">
              <w:rPr>
                <w:rFonts w:ascii="Calibri-Light" w:hAnsi="Calibri-Light" w:cs="Calibri-Light"/>
                <w:sz w:val="18"/>
                <w:szCs w:val="18"/>
              </w:rPr>
              <w:t xml:space="preserve"> </w:t>
            </w:r>
            <w:r w:rsidRPr="00DB4144">
              <w:rPr>
                <w:rFonts w:ascii="Calibri-Light" w:hAnsi="Calibri-Light" w:cs="Calibri-Light"/>
                <w:sz w:val="18"/>
                <w:szCs w:val="18"/>
              </w:rPr>
              <w:t>starting point. These tools</w:t>
            </w:r>
            <w:r w:rsidR="00A84532" w:rsidRPr="00DB4144">
              <w:rPr>
                <w:rFonts w:ascii="Calibri-Light" w:hAnsi="Calibri-Light" w:cs="Calibri-Light"/>
                <w:sz w:val="18"/>
                <w:szCs w:val="18"/>
              </w:rPr>
              <w:t xml:space="preserve"> </w:t>
            </w:r>
            <w:r w:rsidRPr="00DB4144">
              <w:rPr>
                <w:rFonts w:ascii="Calibri-Light" w:hAnsi="Calibri-Light" w:cs="Calibri-Light"/>
                <w:sz w:val="18"/>
                <w:szCs w:val="18"/>
              </w:rPr>
              <w:t>adapt various aspects of the</w:t>
            </w:r>
            <w:r w:rsidR="00EC740E" w:rsidRPr="00DB4144">
              <w:rPr>
                <w:rFonts w:ascii="Calibri-Light" w:hAnsi="Calibri-Light" w:cs="Calibri-Light"/>
                <w:sz w:val="18"/>
                <w:szCs w:val="18"/>
              </w:rPr>
              <w:t xml:space="preserve"> </w:t>
            </w:r>
            <w:r w:rsidRPr="00DB4144">
              <w:rPr>
                <w:rFonts w:ascii="Calibri-Light" w:hAnsi="Calibri-Light" w:cs="Calibri-Light"/>
                <w:sz w:val="18"/>
                <w:szCs w:val="18"/>
              </w:rPr>
              <w:t>WEAI methodology to the</w:t>
            </w:r>
            <w:r w:rsidR="007028E2">
              <w:rPr>
                <w:rFonts w:ascii="Calibri-Light" w:hAnsi="Calibri-Light" w:cs="Calibri-Light"/>
                <w:sz w:val="18"/>
                <w:szCs w:val="18"/>
              </w:rPr>
              <w:t xml:space="preserve"> </w:t>
            </w:r>
            <w:r w:rsidRPr="00DB4144">
              <w:rPr>
                <w:rFonts w:ascii="Calibri-Light" w:hAnsi="Calibri-Light" w:cs="Calibri-Light"/>
                <w:sz w:val="18"/>
                <w:szCs w:val="18"/>
              </w:rPr>
              <w:t>specific context and thus</w:t>
            </w:r>
            <w:r w:rsidR="00EC740E" w:rsidRPr="00DB4144">
              <w:rPr>
                <w:rFonts w:ascii="Calibri-Light" w:hAnsi="Calibri-Light" w:cs="Calibri-Light"/>
                <w:sz w:val="18"/>
                <w:szCs w:val="18"/>
              </w:rPr>
              <w:t xml:space="preserve"> may </w:t>
            </w:r>
            <w:r w:rsidRPr="00DB4144">
              <w:rPr>
                <w:rFonts w:ascii="Calibri-Light" w:hAnsi="Calibri-Light" w:cs="Calibri-Light"/>
                <w:sz w:val="18"/>
                <w:szCs w:val="18"/>
              </w:rPr>
              <w:t>capture domains and</w:t>
            </w:r>
            <w:r w:rsidR="00EC740E" w:rsidRPr="00DB4144">
              <w:rPr>
                <w:rFonts w:ascii="Calibri-Light" w:hAnsi="Calibri-Light" w:cs="Calibri-Light"/>
                <w:sz w:val="18"/>
                <w:szCs w:val="18"/>
              </w:rPr>
              <w:t xml:space="preserve"> </w:t>
            </w:r>
            <w:r w:rsidRPr="00DB4144">
              <w:rPr>
                <w:rFonts w:ascii="Calibri-Light" w:hAnsi="Calibri-Light" w:cs="Calibri-Light"/>
                <w:sz w:val="18"/>
                <w:szCs w:val="18"/>
              </w:rPr>
              <w:t>indicators beyond the original</w:t>
            </w:r>
            <w:r w:rsidR="007028E2">
              <w:rPr>
                <w:rFonts w:ascii="Calibri-Light" w:hAnsi="Calibri-Light" w:cs="Calibri-Light"/>
                <w:sz w:val="18"/>
                <w:szCs w:val="18"/>
              </w:rPr>
              <w:t xml:space="preserve"> </w:t>
            </w:r>
            <w:r w:rsidRPr="00DB4144">
              <w:rPr>
                <w:rFonts w:ascii="Calibri-Light" w:hAnsi="Calibri-Light" w:cs="Calibri-Light"/>
                <w:sz w:val="18"/>
                <w:szCs w:val="18"/>
              </w:rPr>
              <w:t>WEAI</w:t>
            </w:r>
            <w:r w:rsidR="007028E2">
              <w:rPr>
                <w:rFonts w:ascii="Calibri-Light" w:hAnsi="Calibri-Light" w:cs="Calibri-Light"/>
                <w:sz w:val="18"/>
                <w:szCs w:val="18"/>
              </w:rPr>
              <w:t xml:space="preserve"> and other WEAI versions</w:t>
            </w:r>
            <w:r w:rsidRPr="00DB4144">
              <w:rPr>
                <w:rFonts w:ascii="Calibri-Light" w:hAnsi="Calibri-Light" w:cs="Calibri-Light"/>
                <w:sz w:val="18"/>
                <w:szCs w:val="18"/>
              </w:rPr>
              <w:t>. Ad</w:t>
            </w:r>
            <w:r w:rsidR="007028E2">
              <w:rPr>
                <w:rFonts w:ascii="Calibri-Light" w:hAnsi="Calibri-Light" w:cs="Calibri-Light"/>
                <w:sz w:val="18"/>
                <w:szCs w:val="18"/>
              </w:rPr>
              <w:t>-</w:t>
            </w:r>
            <w:r w:rsidRPr="00DB4144">
              <w:rPr>
                <w:rFonts w:ascii="Calibri-Light" w:hAnsi="Calibri-Light" w:cs="Calibri-Light"/>
                <w:sz w:val="18"/>
                <w:szCs w:val="18"/>
              </w:rPr>
              <w:t xml:space="preserve">hoc </w:t>
            </w:r>
            <w:r w:rsidR="00EC740E" w:rsidRPr="00DB4144">
              <w:rPr>
                <w:rFonts w:ascii="Calibri-Light" w:hAnsi="Calibri-Light" w:cs="Calibri-Light"/>
                <w:sz w:val="18"/>
                <w:szCs w:val="18"/>
              </w:rPr>
              <w:t>a</w:t>
            </w:r>
            <w:r w:rsidRPr="00DB4144">
              <w:rPr>
                <w:rFonts w:ascii="Calibri-Light" w:hAnsi="Calibri-Light" w:cs="Calibri-Light"/>
                <w:sz w:val="18"/>
                <w:szCs w:val="18"/>
              </w:rPr>
              <w:t>daptations are</w:t>
            </w:r>
            <w:r w:rsidR="007028E2">
              <w:rPr>
                <w:rFonts w:ascii="Calibri-Light" w:hAnsi="Calibri-Light" w:cs="Calibri-Light"/>
                <w:sz w:val="18"/>
                <w:szCs w:val="18"/>
              </w:rPr>
              <w:t xml:space="preserve"> </w:t>
            </w:r>
            <w:r w:rsidRPr="00DB4144">
              <w:rPr>
                <w:rFonts w:ascii="Calibri-Light" w:hAnsi="Calibri-Light" w:cs="Calibri-Light"/>
                <w:sz w:val="18"/>
                <w:szCs w:val="18"/>
              </w:rPr>
              <w:t>conducted and piloted by</w:t>
            </w:r>
            <w:r w:rsidR="007028E2">
              <w:rPr>
                <w:rFonts w:ascii="Calibri-Light" w:hAnsi="Calibri-Light" w:cs="Calibri-Light"/>
                <w:sz w:val="18"/>
                <w:szCs w:val="18"/>
              </w:rPr>
              <w:t xml:space="preserve"> </w:t>
            </w:r>
            <w:r w:rsidRPr="00DB4144">
              <w:rPr>
                <w:rFonts w:ascii="Calibri-Light" w:hAnsi="Calibri-Light" w:cs="Calibri-Light"/>
                <w:sz w:val="18"/>
                <w:szCs w:val="18"/>
              </w:rPr>
              <w:t>organizations</w:t>
            </w:r>
            <w:r w:rsidR="007028E2">
              <w:rPr>
                <w:rFonts w:ascii="Calibri-Light" w:hAnsi="Calibri-Light" w:cs="Calibri-Light"/>
                <w:sz w:val="18"/>
                <w:szCs w:val="18"/>
              </w:rPr>
              <w:t xml:space="preserve"> </w:t>
            </w:r>
            <w:r w:rsidRPr="00DB4144">
              <w:rPr>
                <w:rFonts w:ascii="Calibri-Light" w:hAnsi="Calibri-Light" w:cs="Calibri-Light"/>
                <w:sz w:val="18"/>
                <w:szCs w:val="18"/>
              </w:rPr>
              <w:t>independently,</w:t>
            </w:r>
            <w:r w:rsidR="00A84532" w:rsidRPr="00DB4144">
              <w:rPr>
                <w:rFonts w:ascii="Calibri-Light" w:hAnsi="Calibri-Light" w:cs="Calibri-Light"/>
                <w:sz w:val="18"/>
                <w:szCs w:val="18"/>
              </w:rPr>
              <w:t xml:space="preserve"> </w:t>
            </w:r>
            <w:r w:rsidRPr="00DB4144">
              <w:rPr>
                <w:rFonts w:ascii="Calibri-Light" w:hAnsi="Calibri-Light" w:cs="Calibri-Light"/>
                <w:sz w:val="18"/>
                <w:szCs w:val="18"/>
              </w:rPr>
              <w:t>and should be clearly</w:t>
            </w:r>
            <w:r w:rsidR="007028E2">
              <w:rPr>
                <w:rFonts w:ascii="Calibri-Light" w:hAnsi="Calibri-Light" w:cs="Calibri-Light"/>
                <w:sz w:val="18"/>
                <w:szCs w:val="18"/>
              </w:rPr>
              <w:t xml:space="preserve"> </w:t>
            </w:r>
            <w:r w:rsidRPr="00DB4144">
              <w:rPr>
                <w:rFonts w:ascii="Calibri-Light" w:hAnsi="Calibri-Light" w:cs="Calibri-Light"/>
                <w:sz w:val="18"/>
                <w:szCs w:val="18"/>
              </w:rPr>
              <w:t>designated as adaptations of</w:t>
            </w:r>
            <w:r w:rsidR="00A84532" w:rsidRPr="00DB4144">
              <w:rPr>
                <w:rFonts w:ascii="Calibri-Light" w:hAnsi="Calibri-Light" w:cs="Calibri-Light"/>
                <w:sz w:val="18"/>
                <w:szCs w:val="18"/>
              </w:rPr>
              <w:t xml:space="preserve"> </w:t>
            </w:r>
            <w:r w:rsidRPr="00DB4144">
              <w:rPr>
                <w:rFonts w:ascii="Calibri-Light" w:hAnsi="Calibri-Light" w:cs="Calibri-Light"/>
                <w:sz w:val="18"/>
                <w:szCs w:val="18"/>
              </w:rPr>
              <w:t>WEAI, not WEAI itself.</w:t>
            </w:r>
          </w:p>
        </w:tc>
      </w:tr>
      <w:tr w:rsidR="00EC740E" w:rsidRPr="00536B63" w14:paraId="15E26A51" w14:textId="77777777" w:rsidTr="007028E2">
        <w:trPr>
          <w:trHeight w:val="1080"/>
        </w:trPr>
        <w:tc>
          <w:tcPr>
            <w:tcW w:w="1975" w:type="dxa"/>
          </w:tcPr>
          <w:p w14:paraId="585936B3" w14:textId="77777777" w:rsidR="00536B63" w:rsidRPr="007028E2" w:rsidRDefault="00536B63">
            <w:pPr>
              <w:rPr>
                <w:sz w:val="18"/>
                <w:szCs w:val="18"/>
              </w:rPr>
            </w:pPr>
            <w:r w:rsidRPr="007028E2">
              <w:rPr>
                <w:sz w:val="18"/>
                <w:szCs w:val="18"/>
              </w:rPr>
              <w:t>Domains covered</w:t>
            </w:r>
          </w:p>
        </w:tc>
        <w:tc>
          <w:tcPr>
            <w:tcW w:w="2610" w:type="dxa"/>
          </w:tcPr>
          <w:p w14:paraId="71945E0C" w14:textId="77777777" w:rsidR="00536B63" w:rsidRPr="007028E2" w:rsidRDefault="00536B63" w:rsidP="00536B63">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1. Production</w:t>
            </w:r>
          </w:p>
          <w:p w14:paraId="63E8D736" w14:textId="77777777" w:rsidR="00536B63" w:rsidRPr="007028E2" w:rsidRDefault="00536B63" w:rsidP="00536B63">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2. Resources</w:t>
            </w:r>
          </w:p>
          <w:p w14:paraId="76951F56" w14:textId="77777777" w:rsidR="00536B63" w:rsidRPr="007028E2" w:rsidRDefault="00536B63" w:rsidP="00536B63">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3. Income</w:t>
            </w:r>
          </w:p>
          <w:p w14:paraId="51E01596" w14:textId="77777777" w:rsidR="00536B63" w:rsidRPr="007028E2" w:rsidRDefault="00536B63" w:rsidP="00536B63">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4. Leadership</w:t>
            </w:r>
          </w:p>
          <w:p w14:paraId="1CA8F256" w14:textId="77777777" w:rsidR="00536B63" w:rsidRPr="007028E2" w:rsidRDefault="00536B63" w:rsidP="00536B63">
            <w:pPr>
              <w:rPr>
                <w:sz w:val="18"/>
                <w:szCs w:val="18"/>
              </w:rPr>
            </w:pPr>
            <w:r w:rsidRPr="007028E2">
              <w:rPr>
                <w:rFonts w:ascii="Calibri-Light" w:hAnsi="Calibri-Light" w:cs="Calibri-Light"/>
                <w:sz w:val="18"/>
                <w:szCs w:val="18"/>
              </w:rPr>
              <w:t>5. Time</w:t>
            </w:r>
          </w:p>
        </w:tc>
        <w:tc>
          <w:tcPr>
            <w:tcW w:w="2610" w:type="dxa"/>
          </w:tcPr>
          <w:p w14:paraId="186594BA" w14:textId="77777777" w:rsidR="00536B63" w:rsidRPr="007028E2" w:rsidRDefault="00536B63" w:rsidP="00536B63">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1. Production</w:t>
            </w:r>
          </w:p>
          <w:p w14:paraId="0C0761FD" w14:textId="77777777" w:rsidR="00536B63" w:rsidRPr="007028E2" w:rsidRDefault="00536B63" w:rsidP="00536B63">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2. Resources</w:t>
            </w:r>
          </w:p>
          <w:p w14:paraId="1246E627" w14:textId="77777777" w:rsidR="00536B63" w:rsidRPr="007028E2" w:rsidRDefault="00536B63" w:rsidP="00536B63">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3. Income</w:t>
            </w:r>
          </w:p>
          <w:p w14:paraId="44F82555" w14:textId="77777777" w:rsidR="00536B63" w:rsidRPr="007028E2" w:rsidRDefault="00536B63" w:rsidP="00536B63">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4. Leadership</w:t>
            </w:r>
          </w:p>
          <w:p w14:paraId="7EBD0C6F" w14:textId="77777777" w:rsidR="00536B63" w:rsidRPr="007028E2" w:rsidRDefault="00536B63" w:rsidP="00536B63">
            <w:pPr>
              <w:rPr>
                <w:sz w:val="18"/>
                <w:szCs w:val="18"/>
              </w:rPr>
            </w:pPr>
            <w:r w:rsidRPr="007028E2">
              <w:rPr>
                <w:rFonts w:ascii="Calibri-Light" w:hAnsi="Calibri-Light" w:cs="Calibri-Light"/>
                <w:sz w:val="18"/>
                <w:szCs w:val="18"/>
              </w:rPr>
              <w:t>5. Time</w:t>
            </w:r>
          </w:p>
        </w:tc>
        <w:tc>
          <w:tcPr>
            <w:tcW w:w="2520" w:type="dxa"/>
          </w:tcPr>
          <w:p w14:paraId="3593075E" w14:textId="77777777" w:rsidR="00536B63" w:rsidRPr="007028E2" w:rsidRDefault="00536B63" w:rsidP="00536B63">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1. Intrinsic agency</w:t>
            </w:r>
          </w:p>
          <w:p w14:paraId="648E8387" w14:textId="77777777" w:rsidR="00536B63" w:rsidRPr="007028E2" w:rsidRDefault="00536B63" w:rsidP="00536B63">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2. Instrumental agency</w:t>
            </w:r>
          </w:p>
          <w:p w14:paraId="4A58BED7" w14:textId="77777777" w:rsidR="00536B63" w:rsidRPr="007028E2" w:rsidRDefault="00536B63" w:rsidP="00536B63">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3. Collective agency</w:t>
            </w:r>
          </w:p>
        </w:tc>
        <w:tc>
          <w:tcPr>
            <w:tcW w:w="2250" w:type="dxa"/>
          </w:tcPr>
          <w:p w14:paraId="499E0E0E" w14:textId="77777777" w:rsidR="00536B63" w:rsidRPr="007028E2" w:rsidRDefault="00A84532" w:rsidP="00536B63">
            <w:pPr>
              <w:rPr>
                <w:sz w:val="18"/>
                <w:szCs w:val="18"/>
              </w:rPr>
            </w:pPr>
            <w:r w:rsidRPr="007028E2">
              <w:rPr>
                <w:rFonts w:ascii="Calibri-Light" w:hAnsi="Calibri-Light" w:cs="Calibri-Light"/>
                <w:sz w:val="18"/>
                <w:szCs w:val="18"/>
              </w:rPr>
              <w:t>Under development</w:t>
            </w:r>
          </w:p>
        </w:tc>
        <w:tc>
          <w:tcPr>
            <w:tcW w:w="2425" w:type="dxa"/>
          </w:tcPr>
          <w:p w14:paraId="4F8E01A8" w14:textId="77777777" w:rsidR="00536B63" w:rsidRPr="007028E2" w:rsidRDefault="00536B63" w:rsidP="00536B63">
            <w:pPr>
              <w:autoSpaceDE w:val="0"/>
              <w:autoSpaceDN w:val="0"/>
              <w:adjustRightInd w:val="0"/>
              <w:rPr>
                <w:rFonts w:ascii="Calibri-Light" w:hAnsi="Calibri-Light" w:cs="Calibri-Light"/>
                <w:sz w:val="18"/>
                <w:szCs w:val="18"/>
              </w:rPr>
            </w:pPr>
            <w:r w:rsidRPr="00DB4144">
              <w:rPr>
                <w:rFonts w:ascii="Calibri-Light" w:hAnsi="Calibri-Light" w:cs="Calibri-Light"/>
                <w:sz w:val="18"/>
                <w:szCs w:val="18"/>
              </w:rPr>
              <w:t>Any combination of domains</w:t>
            </w:r>
          </w:p>
        </w:tc>
      </w:tr>
      <w:tr w:rsidR="00A83132" w:rsidRPr="00536B63" w14:paraId="13224E56" w14:textId="77777777" w:rsidTr="007028E2">
        <w:trPr>
          <w:trHeight w:val="4760"/>
        </w:trPr>
        <w:tc>
          <w:tcPr>
            <w:tcW w:w="1975" w:type="dxa"/>
          </w:tcPr>
          <w:p w14:paraId="2A156890" w14:textId="77777777" w:rsidR="00A83132" w:rsidRPr="007028E2" w:rsidRDefault="00A83132" w:rsidP="00536B63">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lastRenderedPageBreak/>
              <w:t>Indicators</w:t>
            </w:r>
          </w:p>
          <w:p w14:paraId="12592C90" w14:textId="77777777" w:rsidR="00A83132" w:rsidRPr="007028E2" w:rsidRDefault="00A83132" w:rsidP="00536B63">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covered (associated</w:t>
            </w:r>
          </w:p>
          <w:p w14:paraId="020F5866" w14:textId="77777777" w:rsidR="00A83132" w:rsidRPr="007028E2" w:rsidRDefault="00A83132" w:rsidP="00536B63">
            <w:pPr>
              <w:rPr>
                <w:sz w:val="18"/>
                <w:szCs w:val="18"/>
              </w:rPr>
            </w:pPr>
            <w:r w:rsidRPr="007028E2">
              <w:rPr>
                <w:rFonts w:ascii="Calibri-Light" w:hAnsi="Calibri-Light" w:cs="Calibri-Light"/>
                <w:sz w:val="18"/>
                <w:szCs w:val="18"/>
              </w:rPr>
              <w:t>weights)</w:t>
            </w:r>
          </w:p>
        </w:tc>
        <w:tc>
          <w:tcPr>
            <w:tcW w:w="2610" w:type="dxa"/>
          </w:tcPr>
          <w:p w14:paraId="21BEEA7E" w14:textId="77777777" w:rsidR="00A83132" w:rsidRPr="007028E2" w:rsidRDefault="00A83132" w:rsidP="00A83132">
            <w:pPr>
              <w:autoSpaceDE w:val="0"/>
              <w:autoSpaceDN w:val="0"/>
              <w:adjustRightInd w:val="0"/>
              <w:rPr>
                <w:rFonts w:ascii="Calibri-Light" w:hAnsi="Calibri-Light" w:cs="Calibri-Light"/>
                <w:b/>
                <w:sz w:val="18"/>
                <w:szCs w:val="18"/>
              </w:rPr>
            </w:pPr>
            <w:r w:rsidRPr="007028E2">
              <w:rPr>
                <w:rFonts w:ascii="Calibri-Light" w:hAnsi="Calibri-Light" w:cs="Calibri-Light"/>
                <w:b/>
                <w:sz w:val="18"/>
                <w:szCs w:val="18"/>
              </w:rPr>
              <w:t>I. PRODUCTION</w:t>
            </w:r>
          </w:p>
          <w:p w14:paraId="3436A869" w14:textId="77777777" w:rsidR="00A83132" w:rsidRPr="00DB4144" w:rsidRDefault="00A83132" w:rsidP="00A83132">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1. Input in productive decisions (</w:t>
            </w:r>
            <w:r w:rsidRPr="00DB4144">
              <w:rPr>
                <w:rFonts w:ascii="Calibri-Light" w:hAnsi="Calibri-Light" w:cs="Calibri-Light"/>
                <w:sz w:val="18"/>
                <w:szCs w:val="18"/>
              </w:rPr>
              <w:t>1/10)</w:t>
            </w:r>
          </w:p>
          <w:p w14:paraId="2FE79D4F" w14:textId="77777777" w:rsidR="00A83132" w:rsidRPr="007028E2" w:rsidRDefault="00A83132" w:rsidP="00A83132">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2. Autonomy in production (1/10)</w:t>
            </w:r>
          </w:p>
          <w:p w14:paraId="638ABF61" w14:textId="77777777" w:rsidR="00A83132" w:rsidRPr="007028E2" w:rsidRDefault="00A83132" w:rsidP="00A83132">
            <w:pPr>
              <w:autoSpaceDE w:val="0"/>
              <w:autoSpaceDN w:val="0"/>
              <w:adjustRightInd w:val="0"/>
              <w:rPr>
                <w:rFonts w:ascii="Calibri-Light" w:hAnsi="Calibri-Light" w:cs="Calibri-Light"/>
                <w:sz w:val="18"/>
                <w:szCs w:val="18"/>
              </w:rPr>
            </w:pPr>
          </w:p>
          <w:p w14:paraId="5CDCEAB7" w14:textId="77777777" w:rsidR="00A83132" w:rsidRPr="007028E2" w:rsidRDefault="00A83132" w:rsidP="00A83132">
            <w:pPr>
              <w:autoSpaceDE w:val="0"/>
              <w:autoSpaceDN w:val="0"/>
              <w:adjustRightInd w:val="0"/>
              <w:rPr>
                <w:rFonts w:ascii="Calibri-Light" w:hAnsi="Calibri-Light" w:cs="Calibri-Light"/>
                <w:b/>
                <w:sz w:val="18"/>
                <w:szCs w:val="18"/>
              </w:rPr>
            </w:pPr>
            <w:r w:rsidRPr="007028E2">
              <w:rPr>
                <w:rFonts w:ascii="Calibri-Light" w:hAnsi="Calibri-Light" w:cs="Calibri-Light"/>
                <w:b/>
                <w:sz w:val="18"/>
                <w:szCs w:val="18"/>
              </w:rPr>
              <w:t>II. RESOURCES</w:t>
            </w:r>
          </w:p>
          <w:p w14:paraId="22255FB3" w14:textId="77777777" w:rsidR="00A83132" w:rsidRPr="007028E2" w:rsidRDefault="00A83132" w:rsidP="00A83132">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3. Asset ownership (1/15)</w:t>
            </w:r>
          </w:p>
          <w:p w14:paraId="0ED51B1D" w14:textId="77777777" w:rsidR="00A83132" w:rsidRPr="007028E2" w:rsidRDefault="00A83132" w:rsidP="00A83132">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4. Rights over assets (1/15)</w:t>
            </w:r>
          </w:p>
          <w:p w14:paraId="207DED25" w14:textId="77777777" w:rsidR="00A83132" w:rsidRPr="007028E2" w:rsidRDefault="00A83132" w:rsidP="00A83132">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5. Access to and decisions over</w:t>
            </w:r>
          </w:p>
          <w:p w14:paraId="19FF7478" w14:textId="77777777" w:rsidR="00A83132" w:rsidRPr="007028E2" w:rsidRDefault="00A83132" w:rsidP="00A83132">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credit (1/15)</w:t>
            </w:r>
          </w:p>
          <w:p w14:paraId="7823D2C4" w14:textId="77777777" w:rsidR="00A83132" w:rsidRPr="007028E2" w:rsidRDefault="00A83132" w:rsidP="00A83132">
            <w:pPr>
              <w:autoSpaceDE w:val="0"/>
              <w:autoSpaceDN w:val="0"/>
              <w:adjustRightInd w:val="0"/>
              <w:rPr>
                <w:rFonts w:ascii="Calibri-Light" w:hAnsi="Calibri-Light" w:cs="Calibri-Light"/>
                <w:sz w:val="18"/>
                <w:szCs w:val="18"/>
              </w:rPr>
            </w:pPr>
          </w:p>
          <w:p w14:paraId="1159ABBB" w14:textId="77777777" w:rsidR="00A83132" w:rsidRPr="007028E2" w:rsidRDefault="00A83132" w:rsidP="00A83132">
            <w:pPr>
              <w:autoSpaceDE w:val="0"/>
              <w:autoSpaceDN w:val="0"/>
              <w:adjustRightInd w:val="0"/>
              <w:rPr>
                <w:rFonts w:ascii="Calibri-Light" w:hAnsi="Calibri-Light" w:cs="Calibri-Light"/>
                <w:b/>
                <w:sz w:val="18"/>
                <w:szCs w:val="18"/>
              </w:rPr>
            </w:pPr>
            <w:r w:rsidRPr="007028E2">
              <w:rPr>
                <w:rFonts w:ascii="Calibri-Light" w:hAnsi="Calibri-Light" w:cs="Calibri-Light"/>
                <w:b/>
                <w:sz w:val="18"/>
                <w:szCs w:val="18"/>
              </w:rPr>
              <w:t>III. INCOME</w:t>
            </w:r>
          </w:p>
          <w:p w14:paraId="381DE898" w14:textId="77777777" w:rsidR="00A83132" w:rsidRPr="007028E2" w:rsidRDefault="00A83132" w:rsidP="00A83132">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6. Control over use of Income (1/5)</w:t>
            </w:r>
          </w:p>
          <w:p w14:paraId="6E70E9E1" w14:textId="77777777" w:rsidR="00A83132" w:rsidRPr="007028E2" w:rsidRDefault="00A83132" w:rsidP="00A83132">
            <w:pPr>
              <w:autoSpaceDE w:val="0"/>
              <w:autoSpaceDN w:val="0"/>
              <w:adjustRightInd w:val="0"/>
              <w:rPr>
                <w:rFonts w:ascii="Calibri-Light" w:hAnsi="Calibri-Light" w:cs="Calibri-Light"/>
                <w:sz w:val="18"/>
                <w:szCs w:val="18"/>
              </w:rPr>
            </w:pPr>
          </w:p>
          <w:p w14:paraId="7CC954B2" w14:textId="77777777" w:rsidR="00A83132" w:rsidRPr="007028E2" w:rsidRDefault="00A83132" w:rsidP="00A83132">
            <w:pPr>
              <w:autoSpaceDE w:val="0"/>
              <w:autoSpaceDN w:val="0"/>
              <w:adjustRightInd w:val="0"/>
              <w:rPr>
                <w:rFonts w:ascii="Calibri-Light" w:hAnsi="Calibri-Light" w:cs="Calibri-Light"/>
                <w:b/>
                <w:sz w:val="18"/>
                <w:szCs w:val="18"/>
              </w:rPr>
            </w:pPr>
            <w:r w:rsidRPr="007028E2">
              <w:rPr>
                <w:rFonts w:ascii="Calibri-Light" w:hAnsi="Calibri-Light" w:cs="Calibri-Light"/>
                <w:b/>
                <w:sz w:val="18"/>
                <w:szCs w:val="18"/>
              </w:rPr>
              <w:t>IV. LEADERSHIP</w:t>
            </w:r>
          </w:p>
          <w:p w14:paraId="52C32986" w14:textId="77777777" w:rsidR="00A83132" w:rsidRPr="007028E2" w:rsidRDefault="00A83132" w:rsidP="00A83132">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7. Group membership (1/10)</w:t>
            </w:r>
          </w:p>
          <w:p w14:paraId="241CD312" w14:textId="77777777" w:rsidR="00A83132" w:rsidRPr="007028E2" w:rsidRDefault="00A83132" w:rsidP="00A83132">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8. Speaking up in public (1/10)</w:t>
            </w:r>
          </w:p>
          <w:p w14:paraId="00DA27C5" w14:textId="77777777" w:rsidR="00A83132" w:rsidRPr="007028E2" w:rsidRDefault="00A83132" w:rsidP="00A83132">
            <w:pPr>
              <w:autoSpaceDE w:val="0"/>
              <w:autoSpaceDN w:val="0"/>
              <w:adjustRightInd w:val="0"/>
              <w:rPr>
                <w:rFonts w:ascii="Calibri-Light" w:hAnsi="Calibri-Light" w:cs="Calibri-Light"/>
                <w:sz w:val="18"/>
                <w:szCs w:val="18"/>
              </w:rPr>
            </w:pPr>
          </w:p>
          <w:p w14:paraId="4C3455F5" w14:textId="77777777" w:rsidR="00A83132" w:rsidRPr="007028E2" w:rsidRDefault="00A83132" w:rsidP="00A83132">
            <w:pPr>
              <w:autoSpaceDE w:val="0"/>
              <w:autoSpaceDN w:val="0"/>
              <w:adjustRightInd w:val="0"/>
              <w:rPr>
                <w:rFonts w:ascii="Calibri-Light" w:hAnsi="Calibri-Light" w:cs="Calibri-Light"/>
                <w:b/>
                <w:sz w:val="18"/>
                <w:szCs w:val="18"/>
              </w:rPr>
            </w:pPr>
            <w:r w:rsidRPr="007028E2">
              <w:rPr>
                <w:rFonts w:ascii="Calibri-Light" w:hAnsi="Calibri-Light" w:cs="Calibri-Light"/>
                <w:b/>
                <w:sz w:val="18"/>
                <w:szCs w:val="18"/>
              </w:rPr>
              <w:t>V. TIME</w:t>
            </w:r>
          </w:p>
          <w:p w14:paraId="0ED263FC" w14:textId="77777777" w:rsidR="00A83132" w:rsidRPr="007028E2" w:rsidRDefault="00A83132" w:rsidP="00A83132">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9. Workload (1/10)</w:t>
            </w:r>
          </w:p>
          <w:p w14:paraId="38528088" w14:textId="77777777" w:rsidR="00A83132" w:rsidRPr="007028E2" w:rsidRDefault="00A83132" w:rsidP="00A83132">
            <w:pPr>
              <w:rPr>
                <w:sz w:val="18"/>
                <w:szCs w:val="18"/>
              </w:rPr>
            </w:pPr>
            <w:r w:rsidRPr="007028E2">
              <w:rPr>
                <w:rFonts w:ascii="Calibri-Light" w:hAnsi="Calibri-Light" w:cs="Calibri-Light"/>
                <w:sz w:val="18"/>
                <w:szCs w:val="18"/>
              </w:rPr>
              <w:t>10. Satisfaction with leisure (1/10)</w:t>
            </w:r>
          </w:p>
        </w:tc>
        <w:tc>
          <w:tcPr>
            <w:tcW w:w="2610" w:type="dxa"/>
          </w:tcPr>
          <w:p w14:paraId="5019ADE8" w14:textId="77777777" w:rsidR="00A83132" w:rsidRPr="007028E2" w:rsidRDefault="00A83132" w:rsidP="00A83132">
            <w:pPr>
              <w:autoSpaceDE w:val="0"/>
              <w:autoSpaceDN w:val="0"/>
              <w:adjustRightInd w:val="0"/>
              <w:rPr>
                <w:rFonts w:ascii="Calibri-Light" w:hAnsi="Calibri-Light" w:cs="Calibri-Light"/>
                <w:b/>
                <w:sz w:val="18"/>
                <w:szCs w:val="18"/>
              </w:rPr>
            </w:pPr>
            <w:r w:rsidRPr="007028E2">
              <w:rPr>
                <w:rFonts w:ascii="Calibri-Light" w:hAnsi="Calibri-Light" w:cs="Calibri-Light"/>
                <w:b/>
                <w:sz w:val="18"/>
                <w:szCs w:val="18"/>
              </w:rPr>
              <w:t>I. PRODUCTION</w:t>
            </w:r>
          </w:p>
          <w:p w14:paraId="04318895" w14:textId="77777777" w:rsidR="00A83132" w:rsidRPr="00DB4144" w:rsidRDefault="00A83132" w:rsidP="00A83132">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1. Input in productive decisions (</w:t>
            </w:r>
            <w:r w:rsidRPr="00DB4144">
              <w:rPr>
                <w:rFonts w:ascii="Calibri-Light" w:hAnsi="Calibri-Light" w:cs="Calibri-Light"/>
                <w:sz w:val="18"/>
                <w:szCs w:val="18"/>
              </w:rPr>
              <w:t>1/5)</w:t>
            </w:r>
          </w:p>
          <w:p w14:paraId="7B5173CC" w14:textId="77777777" w:rsidR="00A83132" w:rsidRPr="007028E2" w:rsidRDefault="00A83132" w:rsidP="00A83132">
            <w:pPr>
              <w:autoSpaceDE w:val="0"/>
              <w:autoSpaceDN w:val="0"/>
              <w:adjustRightInd w:val="0"/>
              <w:rPr>
                <w:rFonts w:ascii="Calibri-Light" w:hAnsi="Calibri-Light" w:cs="Calibri-Light"/>
                <w:sz w:val="18"/>
                <w:szCs w:val="18"/>
              </w:rPr>
            </w:pPr>
          </w:p>
          <w:p w14:paraId="7ED457BC" w14:textId="77777777" w:rsidR="00A83132" w:rsidRPr="007028E2" w:rsidRDefault="00A83132" w:rsidP="00A83132">
            <w:pPr>
              <w:autoSpaceDE w:val="0"/>
              <w:autoSpaceDN w:val="0"/>
              <w:adjustRightInd w:val="0"/>
              <w:rPr>
                <w:rFonts w:ascii="Calibri-Light" w:hAnsi="Calibri-Light" w:cs="Calibri-Light"/>
                <w:b/>
                <w:sz w:val="18"/>
                <w:szCs w:val="18"/>
              </w:rPr>
            </w:pPr>
            <w:r w:rsidRPr="007028E2">
              <w:rPr>
                <w:rFonts w:ascii="Calibri-Light" w:hAnsi="Calibri-Light" w:cs="Calibri-Light"/>
                <w:b/>
                <w:sz w:val="18"/>
                <w:szCs w:val="18"/>
              </w:rPr>
              <w:t>II. RESOURCES</w:t>
            </w:r>
          </w:p>
          <w:p w14:paraId="3336C69A" w14:textId="77777777" w:rsidR="00A83132" w:rsidRPr="007028E2" w:rsidRDefault="00A83132" w:rsidP="00A83132">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2. Asset ownership (2/15)</w:t>
            </w:r>
          </w:p>
          <w:p w14:paraId="576DCCCC" w14:textId="77777777" w:rsidR="00A83132" w:rsidRPr="007028E2" w:rsidRDefault="00A83132" w:rsidP="00A83132">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3. Access to and decisions over</w:t>
            </w:r>
          </w:p>
          <w:p w14:paraId="2A56998F" w14:textId="77777777" w:rsidR="00A83132" w:rsidRPr="007028E2" w:rsidRDefault="00A83132" w:rsidP="00A83132">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credit (1/15)</w:t>
            </w:r>
          </w:p>
          <w:p w14:paraId="574DC88E" w14:textId="77777777" w:rsidR="00A83132" w:rsidRPr="007028E2" w:rsidRDefault="00A83132" w:rsidP="00A83132">
            <w:pPr>
              <w:autoSpaceDE w:val="0"/>
              <w:autoSpaceDN w:val="0"/>
              <w:adjustRightInd w:val="0"/>
              <w:rPr>
                <w:rFonts w:ascii="Calibri-Light" w:hAnsi="Calibri-Light" w:cs="Calibri-Light"/>
                <w:sz w:val="18"/>
                <w:szCs w:val="18"/>
              </w:rPr>
            </w:pPr>
          </w:p>
          <w:p w14:paraId="5E13E5F9" w14:textId="77777777" w:rsidR="00A83132" w:rsidRPr="007028E2" w:rsidRDefault="00A83132" w:rsidP="00A83132">
            <w:pPr>
              <w:autoSpaceDE w:val="0"/>
              <w:autoSpaceDN w:val="0"/>
              <w:adjustRightInd w:val="0"/>
              <w:rPr>
                <w:rFonts w:ascii="Calibri-Light" w:hAnsi="Calibri-Light" w:cs="Calibri-Light"/>
                <w:b/>
                <w:sz w:val="18"/>
                <w:szCs w:val="18"/>
              </w:rPr>
            </w:pPr>
            <w:r w:rsidRPr="007028E2">
              <w:rPr>
                <w:rFonts w:ascii="Calibri-Light" w:hAnsi="Calibri-Light" w:cs="Calibri-Light"/>
                <w:b/>
                <w:sz w:val="18"/>
                <w:szCs w:val="18"/>
              </w:rPr>
              <w:t>III. INCOME</w:t>
            </w:r>
          </w:p>
          <w:p w14:paraId="3C6A5AFF" w14:textId="77777777" w:rsidR="00A83132" w:rsidRPr="007028E2" w:rsidRDefault="00A83132" w:rsidP="00A83132">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4. Control over use of Income (1/5)</w:t>
            </w:r>
          </w:p>
          <w:p w14:paraId="5731C4CC" w14:textId="77777777" w:rsidR="00A83132" w:rsidRPr="007028E2" w:rsidRDefault="00A83132" w:rsidP="00A83132">
            <w:pPr>
              <w:autoSpaceDE w:val="0"/>
              <w:autoSpaceDN w:val="0"/>
              <w:adjustRightInd w:val="0"/>
              <w:rPr>
                <w:rFonts w:ascii="Calibri-Light" w:hAnsi="Calibri-Light" w:cs="Calibri-Light"/>
                <w:sz w:val="18"/>
                <w:szCs w:val="18"/>
              </w:rPr>
            </w:pPr>
          </w:p>
          <w:p w14:paraId="2B57AFFC" w14:textId="77777777" w:rsidR="00A83132" w:rsidRPr="007028E2" w:rsidRDefault="00A83132" w:rsidP="00A83132">
            <w:pPr>
              <w:autoSpaceDE w:val="0"/>
              <w:autoSpaceDN w:val="0"/>
              <w:adjustRightInd w:val="0"/>
              <w:rPr>
                <w:rFonts w:ascii="Calibri-Light" w:hAnsi="Calibri-Light" w:cs="Calibri-Light"/>
                <w:b/>
                <w:sz w:val="18"/>
                <w:szCs w:val="18"/>
              </w:rPr>
            </w:pPr>
            <w:r w:rsidRPr="007028E2">
              <w:rPr>
                <w:rFonts w:ascii="Calibri-Light" w:hAnsi="Calibri-Light" w:cs="Calibri-Light"/>
                <w:b/>
                <w:sz w:val="18"/>
                <w:szCs w:val="18"/>
              </w:rPr>
              <w:t>IV. LEADERSHIP</w:t>
            </w:r>
          </w:p>
          <w:p w14:paraId="5E072346" w14:textId="77777777" w:rsidR="00A83132" w:rsidRPr="007028E2" w:rsidRDefault="00A83132" w:rsidP="00A83132">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5. Group membership (1/5)</w:t>
            </w:r>
          </w:p>
          <w:p w14:paraId="52E10E45" w14:textId="77777777" w:rsidR="00A83132" w:rsidRPr="007028E2" w:rsidRDefault="00A83132" w:rsidP="00A83132">
            <w:pPr>
              <w:autoSpaceDE w:val="0"/>
              <w:autoSpaceDN w:val="0"/>
              <w:adjustRightInd w:val="0"/>
              <w:rPr>
                <w:rFonts w:ascii="Calibri-Light" w:hAnsi="Calibri-Light" w:cs="Calibri-Light"/>
                <w:sz w:val="18"/>
                <w:szCs w:val="18"/>
              </w:rPr>
            </w:pPr>
          </w:p>
          <w:p w14:paraId="1EED3EBE" w14:textId="77777777" w:rsidR="00A83132" w:rsidRPr="007028E2" w:rsidRDefault="00A83132" w:rsidP="00A83132">
            <w:pPr>
              <w:autoSpaceDE w:val="0"/>
              <w:autoSpaceDN w:val="0"/>
              <w:adjustRightInd w:val="0"/>
              <w:rPr>
                <w:rFonts w:ascii="Calibri-Light" w:hAnsi="Calibri-Light" w:cs="Calibri-Light"/>
                <w:b/>
                <w:sz w:val="18"/>
                <w:szCs w:val="18"/>
              </w:rPr>
            </w:pPr>
            <w:r w:rsidRPr="007028E2">
              <w:rPr>
                <w:rFonts w:ascii="Calibri-Light" w:hAnsi="Calibri-Light" w:cs="Calibri-Light"/>
                <w:b/>
                <w:sz w:val="18"/>
                <w:szCs w:val="18"/>
              </w:rPr>
              <w:t>V. TIME</w:t>
            </w:r>
          </w:p>
          <w:p w14:paraId="0E8CB20E" w14:textId="77777777" w:rsidR="00A83132" w:rsidRPr="007028E2" w:rsidRDefault="00A83132" w:rsidP="00A83132">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6. Workload (1/5)</w:t>
            </w:r>
          </w:p>
          <w:p w14:paraId="46976AF3" w14:textId="77777777" w:rsidR="00A83132" w:rsidRPr="007028E2" w:rsidRDefault="00A83132" w:rsidP="00A83132">
            <w:pPr>
              <w:rPr>
                <w:sz w:val="18"/>
                <w:szCs w:val="18"/>
              </w:rPr>
            </w:pPr>
          </w:p>
        </w:tc>
        <w:tc>
          <w:tcPr>
            <w:tcW w:w="2520" w:type="dxa"/>
          </w:tcPr>
          <w:p w14:paraId="39EEB808" w14:textId="77777777" w:rsidR="00A83132" w:rsidRPr="007028E2" w:rsidRDefault="00A83132" w:rsidP="00A83132">
            <w:pPr>
              <w:autoSpaceDE w:val="0"/>
              <w:autoSpaceDN w:val="0"/>
              <w:adjustRightInd w:val="0"/>
              <w:rPr>
                <w:rFonts w:ascii="Calibri-Light" w:hAnsi="Calibri-Light" w:cs="Calibri-Light"/>
                <w:b/>
                <w:sz w:val="18"/>
                <w:szCs w:val="18"/>
              </w:rPr>
            </w:pPr>
            <w:r w:rsidRPr="007028E2">
              <w:rPr>
                <w:rFonts w:ascii="Calibri-Light" w:hAnsi="Calibri-Light" w:cs="Calibri-Light"/>
                <w:b/>
                <w:sz w:val="18"/>
                <w:szCs w:val="18"/>
              </w:rPr>
              <w:t>I. INTRINSIC AGENCY</w:t>
            </w:r>
          </w:p>
          <w:p w14:paraId="1616D6E3" w14:textId="77777777" w:rsidR="00A83132" w:rsidRPr="007028E2" w:rsidRDefault="00A83132" w:rsidP="00A83132">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 xml:space="preserve">1. Autonomy in income </w:t>
            </w:r>
            <w:r w:rsidR="00A84532" w:rsidRPr="007028E2">
              <w:rPr>
                <w:rFonts w:ascii="Calibri-Light" w:hAnsi="Calibri-Light" w:cs="Calibri-Light"/>
                <w:sz w:val="18"/>
                <w:szCs w:val="18"/>
              </w:rPr>
              <w:t>(1/12)</w:t>
            </w:r>
          </w:p>
          <w:p w14:paraId="053E7CFD" w14:textId="77777777" w:rsidR="00A83132" w:rsidRPr="007028E2" w:rsidRDefault="00A83132" w:rsidP="00A83132">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2. Self-efficacy (1/12)</w:t>
            </w:r>
          </w:p>
          <w:p w14:paraId="494DA411" w14:textId="77777777" w:rsidR="00A83132" w:rsidRPr="007028E2" w:rsidRDefault="00A83132" w:rsidP="00A83132">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3. Attitudes towards wife-beating</w:t>
            </w:r>
            <w:r w:rsidR="00A84532" w:rsidRPr="007028E2">
              <w:rPr>
                <w:rFonts w:ascii="Calibri-Light" w:hAnsi="Calibri-Light" w:cs="Calibri-Light"/>
                <w:sz w:val="18"/>
                <w:szCs w:val="18"/>
              </w:rPr>
              <w:t xml:space="preserve"> (1/12)</w:t>
            </w:r>
          </w:p>
          <w:p w14:paraId="429BF5D2" w14:textId="77777777" w:rsidR="00A84532" w:rsidRPr="007028E2" w:rsidRDefault="00A84532" w:rsidP="00A83132">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4. Respect am</w:t>
            </w:r>
            <w:bookmarkStart w:id="0" w:name="_GoBack"/>
            <w:bookmarkEnd w:id="0"/>
            <w:r w:rsidRPr="007028E2">
              <w:rPr>
                <w:rFonts w:ascii="Calibri-Light" w:hAnsi="Calibri-Light" w:cs="Calibri-Light"/>
                <w:sz w:val="18"/>
                <w:szCs w:val="18"/>
              </w:rPr>
              <w:t>ong household members (1/12)</w:t>
            </w:r>
          </w:p>
          <w:p w14:paraId="7432445D" w14:textId="77777777" w:rsidR="00A83132" w:rsidRPr="007028E2" w:rsidRDefault="00A83132" w:rsidP="00A83132">
            <w:pPr>
              <w:autoSpaceDE w:val="0"/>
              <w:autoSpaceDN w:val="0"/>
              <w:adjustRightInd w:val="0"/>
              <w:rPr>
                <w:rFonts w:ascii="Calibri-Light" w:hAnsi="Calibri-Light" w:cs="Calibri-Light"/>
                <w:sz w:val="18"/>
                <w:szCs w:val="18"/>
              </w:rPr>
            </w:pPr>
          </w:p>
          <w:p w14:paraId="4775A423" w14:textId="77777777" w:rsidR="00A83132" w:rsidRPr="007028E2" w:rsidRDefault="00A83132" w:rsidP="00A83132">
            <w:pPr>
              <w:autoSpaceDE w:val="0"/>
              <w:autoSpaceDN w:val="0"/>
              <w:adjustRightInd w:val="0"/>
              <w:rPr>
                <w:rFonts w:ascii="Calibri-Light" w:hAnsi="Calibri-Light" w:cs="Calibri-Light"/>
                <w:b/>
                <w:sz w:val="18"/>
                <w:szCs w:val="18"/>
              </w:rPr>
            </w:pPr>
            <w:r w:rsidRPr="007028E2">
              <w:rPr>
                <w:rFonts w:ascii="Calibri-Light" w:hAnsi="Calibri-Light" w:cs="Calibri-Light"/>
                <w:b/>
                <w:sz w:val="18"/>
                <w:szCs w:val="18"/>
              </w:rPr>
              <w:t>II. INSTRUMENTAL AGENCY</w:t>
            </w:r>
          </w:p>
          <w:p w14:paraId="0726B267" w14:textId="77777777" w:rsidR="00A83132" w:rsidRPr="007028E2" w:rsidRDefault="00A83132" w:rsidP="00A84532">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 xml:space="preserve">5. </w:t>
            </w:r>
            <w:r w:rsidR="00A84532" w:rsidRPr="007028E2">
              <w:rPr>
                <w:rFonts w:ascii="Calibri-Light" w:hAnsi="Calibri-Light" w:cs="Calibri-Light"/>
                <w:sz w:val="18"/>
                <w:szCs w:val="18"/>
              </w:rPr>
              <w:t>Input in productive decisions</w:t>
            </w:r>
            <w:r w:rsidRPr="007028E2">
              <w:rPr>
                <w:rFonts w:ascii="Calibri-Light" w:hAnsi="Calibri-Light" w:cs="Calibri-Light"/>
                <w:sz w:val="18"/>
                <w:szCs w:val="18"/>
              </w:rPr>
              <w:t xml:space="preserve"> (1/1</w:t>
            </w:r>
            <w:r w:rsidR="00FA29A1" w:rsidRPr="007028E2">
              <w:rPr>
                <w:rFonts w:ascii="Calibri-Light" w:hAnsi="Calibri-Light" w:cs="Calibri-Light"/>
                <w:sz w:val="18"/>
                <w:szCs w:val="18"/>
              </w:rPr>
              <w:t>2</w:t>
            </w:r>
            <w:r w:rsidRPr="007028E2">
              <w:rPr>
                <w:rFonts w:ascii="Calibri-Light" w:hAnsi="Calibri-Light" w:cs="Calibri-Light"/>
                <w:sz w:val="18"/>
                <w:szCs w:val="18"/>
              </w:rPr>
              <w:t>)</w:t>
            </w:r>
          </w:p>
          <w:p w14:paraId="7296CB2B" w14:textId="77777777" w:rsidR="00A84532" w:rsidRPr="007028E2" w:rsidRDefault="00A84532" w:rsidP="00A84532">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6. Ownership of land and other assets (1/12)</w:t>
            </w:r>
          </w:p>
          <w:p w14:paraId="1DFD21D7" w14:textId="77777777" w:rsidR="00A84532" w:rsidRPr="007028E2" w:rsidRDefault="00A84532" w:rsidP="00A84532">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7. Access to and decisions on financial services (1/12)</w:t>
            </w:r>
          </w:p>
          <w:p w14:paraId="1307FA44" w14:textId="77777777" w:rsidR="00A84532" w:rsidRPr="007028E2" w:rsidRDefault="00A84532" w:rsidP="00A84532">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8. Control over use of income (1/12)</w:t>
            </w:r>
          </w:p>
          <w:p w14:paraId="3418CF48" w14:textId="77777777" w:rsidR="00A84532" w:rsidRPr="007028E2" w:rsidRDefault="00A84532" w:rsidP="00A84532">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9. Work balance (1/12)</w:t>
            </w:r>
          </w:p>
          <w:p w14:paraId="36D4C90F" w14:textId="77777777" w:rsidR="00A84532" w:rsidRPr="007028E2" w:rsidRDefault="00A84532" w:rsidP="00A84532">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10. Freedom of movement (1/12)</w:t>
            </w:r>
          </w:p>
          <w:p w14:paraId="1C321E5E" w14:textId="77777777" w:rsidR="00A83132" w:rsidRPr="007028E2" w:rsidRDefault="00A83132" w:rsidP="00A83132">
            <w:pPr>
              <w:autoSpaceDE w:val="0"/>
              <w:autoSpaceDN w:val="0"/>
              <w:adjustRightInd w:val="0"/>
              <w:rPr>
                <w:rFonts w:ascii="Calibri-Light" w:hAnsi="Calibri-Light" w:cs="Calibri-Light"/>
                <w:sz w:val="18"/>
                <w:szCs w:val="18"/>
              </w:rPr>
            </w:pPr>
          </w:p>
          <w:p w14:paraId="49C3AE6D" w14:textId="77777777" w:rsidR="00A83132" w:rsidRPr="007028E2" w:rsidRDefault="00A83132" w:rsidP="00A83132">
            <w:pPr>
              <w:autoSpaceDE w:val="0"/>
              <w:autoSpaceDN w:val="0"/>
              <w:adjustRightInd w:val="0"/>
              <w:rPr>
                <w:rFonts w:ascii="Calibri-Light" w:hAnsi="Calibri-Light" w:cs="Calibri-Light"/>
                <w:b/>
                <w:sz w:val="18"/>
                <w:szCs w:val="18"/>
              </w:rPr>
            </w:pPr>
            <w:r w:rsidRPr="007028E2">
              <w:rPr>
                <w:rFonts w:ascii="Calibri-Light" w:hAnsi="Calibri-Light" w:cs="Calibri-Light"/>
                <w:b/>
                <w:sz w:val="18"/>
                <w:szCs w:val="18"/>
              </w:rPr>
              <w:t>III. COLLECTIVE AGENCY</w:t>
            </w:r>
          </w:p>
          <w:p w14:paraId="730760DD" w14:textId="77777777" w:rsidR="00A83132" w:rsidRPr="007028E2" w:rsidRDefault="00A84532" w:rsidP="00A83132">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11. Group membership (1/12)</w:t>
            </w:r>
          </w:p>
          <w:p w14:paraId="7D1BF33F" w14:textId="77777777" w:rsidR="00A84532" w:rsidRPr="007028E2" w:rsidRDefault="00A84532" w:rsidP="00A83132">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12. Membership in influential groups (1/12)</w:t>
            </w:r>
          </w:p>
          <w:p w14:paraId="344FA68F" w14:textId="77777777" w:rsidR="00A84532" w:rsidRPr="007028E2" w:rsidRDefault="00A84532" w:rsidP="00A83132">
            <w:pPr>
              <w:autoSpaceDE w:val="0"/>
              <w:autoSpaceDN w:val="0"/>
              <w:adjustRightInd w:val="0"/>
              <w:rPr>
                <w:rFonts w:ascii="Calibri-Light" w:hAnsi="Calibri-Light" w:cs="Calibri-Light"/>
                <w:sz w:val="18"/>
                <w:szCs w:val="18"/>
              </w:rPr>
            </w:pPr>
          </w:p>
          <w:p w14:paraId="6EB57A5D" w14:textId="77777777" w:rsidR="00A83132" w:rsidRPr="007028E2" w:rsidRDefault="00FA29A1" w:rsidP="00FA29A1">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 xml:space="preserve">PLEASE NOTE THAT </w:t>
            </w:r>
            <w:r w:rsidR="00A84532" w:rsidRPr="007028E2">
              <w:rPr>
                <w:rFonts w:ascii="Calibri-Light" w:hAnsi="Calibri-Light" w:cs="Calibri-Light"/>
                <w:sz w:val="18"/>
                <w:szCs w:val="18"/>
              </w:rPr>
              <w:t>ALL PRO-WEAI INDICATORS ARE SUBJECT TO CHANGE</w:t>
            </w:r>
          </w:p>
        </w:tc>
        <w:tc>
          <w:tcPr>
            <w:tcW w:w="2250" w:type="dxa"/>
          </w:tcPr>
          <w:p w14:paraId="43242763" w14:textId="77777777" w:rsidR="00A83132" w:rsidRPr="007028E2" w:rsidRDefault="00A83132">
            <w:pPr>
              <w:rPr>
                <w:sz w:val="18"/>
                <w:szCs w:val="18"/>
              </w:rPr>
            </w:pPr>
            <w:r w:rsidRPr="007028E2">
              <w:rPr>
                <w:sz w:val="18"/>
                <w:szCs w:val="18"/>
              </w:rPr>
              <w:t>Under development</w:t>
            </w:r>
          </w:p>
        </w:tc>
        <w:tc>
          <w:tcPr>
            <w:tcW w:w="2425" w:type="dxa"/>
          </w:tcPr>
          <w:p w14:paraId="5D07E67E" w14:textId="77777777" w:rsidR="00A83132" w:rsidRPr="007028E2" w:rsidRDefault="00A83132">
            <w:pPr>
              <w:rPr>
                <w:sz w:val="18"/>
                <w:szCs w:val="18"/>
              </w:rPr>
            </w:pPr>
            <w:r w:rsidRPr="007028E2">
              <w:rPr>
                <w:sz w:val="18"/>
                <w:szCs w:val="18"/>
              </w:rPr>
              <w:t>--</w:t>
            </w:r>
          </w:p>
        </w:tc>
      </w:tr>
      <w:tr w:rsidR="00A83132" w:rsidRPr="00536B63" w14:paraId="6CD33870" w14:textId="77777777" w:rsidTr="007028E2">
        <w:trPr>
          <w:trHeight w:val="350"/>
        </w:trPr>
        <w:tc>
          <w:tcPr>
            <w:tcW w:w="1975" w:type="dxa"/>
          </w:tcPr>
          <w:p w14:paraId="2623F590" w14:textId="77777777" w:rsidR="00A83132" w:rsidRPr="007028E2" w:rsidRDefault="00A83132" w:rsidP="00536B63">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Weighting</w:t>
            </w:r>
          </w:p>
        </w:tc>
        <w:tc>
          <w:tcPr>
            <w:tcW w:w="2610" w:type="dxa"/>
          </w:tcPr>
          <w:p w14:paraId="4C905141" w14:textId="2CCA595D" w:rsidR="00A83132" w:rsidRPr="007028E2" w:rsidRDefault="00A83132" w:rsidP="00536B63">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 xml:space="preserve">Equal across domains, then </w:t>
            </w:r>
            <w:r w:rsidR="00D27FB0">
              <w:rPr>
                <w:rFonts w:ascii="Calibri-Light" w:hAnsi="Calibri-Light" w:cs="Calibri-Light"/>
                <w:sz w:val="18"/>
                <w:szCs w:val="18"/>
              </w:rPr>
              <w:t xml:space="preserve">equal </w:t>
            </w:r>
            <w:r w:rsidRPr="007028E2">
              <w:rPr>
                <w:rFonts w:ascii="Calibri-Light" w:hAnsi="Calibri-Light" w:cs="Calibri-Light"/>
                <w:sz w:val="18"/>
                <w:szCs w:val="18"/>
              </w:rPr>
              <w:t>among indicators within the same domain</w:t>
            </w:r>
          </w:p>
        </w:tc>
        <w:tc>
          <w:tcPr>
            <w:tcW w:w="2610" w:type="dxa"/>
          </w:tcPr>
          <w:p w14:paraId="578A1071" w14:textId="77777777" w:rsidR="00A83132" w:rsidRPr="007028E2" w:rsidRDefault="00A84532" w:rsidP="00536B63">
            <w:pPr>
              <w:autoSpaceDE w:val="0"/>
              <w:autoSpaceDN w:val="0"/>
              <w:adjustRightInd w:val="0"/>
              <w:rPr>
                <w:rFonts w:ascii="Calibri-Light" w:hAnsi="Calibri-Light" w:cs="Calibri-Light"/>
                <w:i/>
                <w:sz w:val="18"/>
                <w:szCs w:val="18"/>
              </w:rPr>
            </w:pPr>
            <w:r w:rsidRPr="007028E2">
              <w:rPr>
                <w:rFonts w:ascii="Calibri-Light" w:hAnsi="Calibri-Light" w:cs="Calibri-Light"/>
                <w:sz w:val="18"/>
                <w:szCs w:val="18"/>
              </w:rPr>
              <w:t xml:space="preserve">Equal across domains; see different weighting scheme within </w:t>
            </w:r>
            <w:r w:rsidRPr="007028E2">
              <w:rPr>
                <w:rFonts w:ascii="Calibri-Light" w:hAnsi="Calibri-Light" w:cs="Calibri-Light"/>
                <w:i/>
                <w:sz w:val="18"/>
                <w:szCs w:val="18"/>
              </w:rPr>
              <w:t>Resources</w:t>
            </w:r>
            <w:r w:rsidRPr="007028E2">
              <w:rPr>
                <w:rFonts w:ascii="Calibri-Light" w:hAnsi="Calibri-Light" w:cs="Calibri-Light"/>
                <w:sz w:val="18"/>
                <w:szCs w:val="18"/>
              </w:rPr>
              <w:t xml:space="preserve"> domain above</w:t>
            </w:r>
          </w:p>
        </w:tc>
        <w:tc>
          <w:tcPr>
            <w:tcW w:w="2520" w:type="dxa"/>
          </w:tcPr>
          <w:p w14:paraId="66A5931E" w14:textId="77777777" w:rsidR="00A83132" w:rsidRPr="007028E2" w:rsidRDefault="00A83132" w:rsidP="00536B63">
            <w:pPr>
              <w:rPr>
                <w:sz w:val="18"/>
                <w:szCs w:val="18"/>
              </w:rPr>
            </w:pPr>
            <w:r w:rsidRPr="007028E2">
              <w:rPr>
                <w:rFonts w:ascii="Calibri-Light" w:hAnsi="Calibri-Light" w:cs="Calibri-Light"/>
                <w:sz w:val="18"/>
                <w:szCs w:val="18"/>
              </w:rPr>
              <w:t>Equal across indicators</w:t>
            </w:r>
          </w:p>
        </w:tc>
        <w:tc>
          <w:tcPr>
            <w:tcW w:w="2250" w:type="dxa"/>
          </w:tcPr>
          <w:p w14:paraId="7909DE74" w14:textId="77777777" w:rsidR="00A83132" w:rsidRPr="007028E2" w:rsidRDefault="00A84532" w:rsidP="00536B63">
            <w:pPr>
              <w:rPr>
                <w:sz w:val="18"/>
                <w:szCs w:val="18"/>
              </w:rPr>
            </w:pPr>
            <w:r w:rsidRPr="007028E2">
              <w:rPr>
                <w:sz w:val="18"/>
                <w:szCs w:val="18"/>
              </w:rPr>
              <w:t>TBD</w:t>
            </w:r>
          </w:p>
        </w:tc>
        <w:tc>
          <w:tcPr>
            <w:tcW w:w="2425" w:type="dxa"/>
          </w:tcPr>
          <w:p w14:paraId="0AA81250" w14:textId="77777777" w:rsidR="00A83132" w:rsidRPr="007028E2" w:rsidRDefault="00FA29A1" w:rsidP="00536B63">
            <w:pPr>
              <w:rPr>
                <w:sz w:val="18"/>
                <w:szCs w:val="18"/>
              </w:rPr>
            </w:pPr>
            <w:r w:rsidRPr="007028E2">
              <w:rPr>
                <w:sz w:val="18"/>
                <w:szCs w:val="18"/>
              </w:rPr>
              <w:t>Specific to each version</w:t>
            </w:r>
          </w:p>
        </w:tc>
      </w:tr>
      <w:tr w:rsidR="00A84532" w:rsidRPr="00536B63" w14:paraId="370B0410" w14:textId="77777777" w:rsidTr="007028E2">
        <w:trPr>
          <w:trHeight w:val="350"/>
        </w:trPr>
        <w:tc>
          <w:tcPr>
            <w:tcW w:w="1975" w:type="dxa"/>
          </w:tcPr>
          <w:p w14:paraId="7E29156C" w14:textId="77777777" w:rsidR="00A84532" w:rsidRPr="007028E2" w:rsidRDefault="00A84532" w:rsidP="00536B63">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Has add-on modules</w:t>
            </w:r>
          </w:p>
        </w:tc>
        <w:tc>
          <w:tcPr>
            <w:tcW w:w="2610" w:type="dxa"/>
          </w:tcPr>
          <w:p w14:paraId="0927D071" w14:textId="77777777" w:rsidR="00A84532" w:rsidRPr="007028E2" w:rsidRDefault="00A84532" w:rsidP="00536B63">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No</w:t>
            </w:r>
          </w:p>
        </w:tc>
        <w:tc>
          <w:tcPr>
            <w:tcW w:w="2610" w:type="dxa"/>
          </w:tcPr>
          <w:p w14:paraId="57742A6F" w14:textId="77777777" w:rsidR="00A84532" w:rsidRPr="007028E2" w:rsidRDefault="00A84532" w:rsidP="00536B63">
            <w:pPr>
              <w:autoSpaceDE w:val="0"/>
              <w:autoSpaceDN w:val="0"/>
              <w:adjustRightInd w:val="0"/>
              <w:rPr>
                <w:rFonts w:ascii="Calibri-Light" w:hAnsi="Calibri-Light" w:cs="Calibri-Light"/>
                <w:sz w:val="18"/>
                <w:szCs w:val="18"/>
              </w:rPr>
            </w:pPr>
            <w:r w:rsidRPr="007028E2">
              <w:rPr>
                <w:rFonts w:ascii="Calibri-Light" w:hAnsi="Calibri-Light" w:cs="Calibri-Light"/>
                <w:sz w:val="18"/>
                <w:szCs w:val="18"/>
              </w:rPr>
              <w:t>No</w:t>
            </w:r>
          </w:p>
        </w:tc>
        <w:tc>
          <w:tcPr>
            <w:tcW w:w="2520" w:type="dxa"/>
          </w:tcPr>
          <w:p w14:paraId="1E8CC4AF" w14:textId="77777777" w:rsidR="00A84532" w:rsidRPr="007028E2" w:rsidRDefault="00A84532" w:rsidP="00536B63">
            <w:pPr>
              <w:rPr>
                <w:rFonts w:ascii="Calibri-Light" w:hAnsi="Calibri-Light" w:cs="Calibri-Light"/>
                <w:sz w:val="18"/>
                <w:szCs w:val="18"/>
              </w:rPr>
            </w:pPr>
            <w:r w:rsidRPr="007028E2">
              <w:rPr>
                <w:rFonts w:ascii="Calibri-Light" w:hAnsi="Calibri-Light" w:cs="Calibri-Light"/>
                <w:sz w:val="18"/>
                <w:szCs w:val="18"/>
              </w:rPr>
              <w:t xml:space="preserve">Yes </w:t>
            </w:r>
            <w:r w:rsidR="00FA29A1" w:rsidRPr="007028E2">
              <w:rPr>
                <w:rFonts w:ascii="Calibri-Light" w:hAnsi="Calibri-Light" w:cs="Calibri-Light"/>
                <w:sz w:val="18"/>
                <w:szCs w:val="18"/>
              </w:rPr>
              <w:t>(Health &amp; Nutrition; Enhanced Livestock; Market Inclusion) – under development</w:t>
            </w:r>
          </w:p>
        </w:tc>
        <w:tc>
          <w:tcPr>
            <w:tcW w:w="2250" w:type="dxa"/>
          </w:tcPr>
          <w:p w14:paraId="196237AE" w14:textId="77777777" w:rsidR="00A84532" w:rsidRPr="007028E2" w:rsidRDefault="00FA29A1" w:rsidP="00536B63">
            <w:pPr>
              <w:rPr>
                <w:sz w:val="18"/>
                <w:szCs w:val="18"/>
              </w:rPr>
            </w:pPr>
            <w:r w:rsidRPr="007028E2">
              <w:rPr>
                <w:sz w:val="18"/>
                <w:szCs w:val="18"/>
              </w:rPr>
              <w:t>TBD</w:t>
            </w:r>
          </w:p>
        </w:tc>
        <w:tc>
          <w:tcPr>
            <w:tcW w:w="2425" w:type="dxa"/>
          </w:tcPr>
          <w:p w14:paraId="67FEDA56" w14:textId="77777777" w:rsidR="00A84532" w:rsidRPr="007028E2" w:rsidRDefault="00FA29A1" w:rsidP="00536B63">
            <w:pPr>
              <w:rPr>
                <w:sz w:val="18"/>
                <w:szCs w:val="18"/>
              </w:rPr>
            </w:pPr>
            <w:r w:rsidRPr="007028E2">
              <w:rPr>
                <w:sz w:val="18"/>
                <w:szCs w:val="18"/>
              </w:rPr>
              <w:t>--</w:t>
            </w:r>
          </w:p>
        </w:tc>
      </w:tr>
      <w:tr w:rsidR="00EC740E" w:rsidRPr="00536B63" w14:paraId="07782F0C" w14:textId="77777777" w:rsidTr="007028E2">
        <w:trPr>
          <w:trHeight w:val="210"/>
        </w:trPr>
        <w:tc>
          <w:tcPr>
            <w:tcW w:w="1975" w:type="dxa"/>
          </w:tcPr>
          <w:p w14:paraId="3CA7A617" w14:textId="77777777" w:rsidR="00536B63" w:rsidRPr="007028E2" w:rsidRDefault="00536B63" w:rsidP="00FA29A1">
            <w:pPr>
              <w:autoSpaceDE w:val="0"/>
              <w:autoSpaceDN w:val="0"/>
              <w:adjustRightInd w:val="0"/>
              <w:rPr>
                <w:rFonts w:cstheme="minorHAnsi"/>
                <w:sz w:val="18"/>
                <w:szCs w:val="18"/>
              </w:rPr>
            </w:pPr>
            <w:r w:rsidRPr="007028E2">
              <w:rPr>
                <w:rFonts w:cstheme="minorHAnsi"/>
                <w:sz w:val="18"/>
                <w:szCs w:val="18"/>
              </w:rPr>
              <w:t>Comparable</w:t>
            </w:r>
            <w:r w:rsidR="00FA29A1" w:rsidRPr="007028E2">
              <w:rPr>
                <w:rFonts w:cstheme="minorHAnsi"/>
                <w:sz w:val="18"/>
                <w:szCs w:val="18"/>
              </w:rPr>
              <w:t xml:space="preserve"> </w:t>
            </w:r>
            <w:r w:rsidRPr="007028E2">
              <w:rPr>
                <w:rFonts w:cstheme="minorHAnsi"/>
                <w:sz w:val="18"/>
                <w:szCs w:val="18"/>
              </w:rPr>
              <w:t>to WEAI FTF</w:t>
            </w:r>
            <w:r w:rsidR="00FA29A1" w:rsidRPr="007028E2">
              <w:rPr>
                <w:rFonts w:cstheme="minorHAnsi"/>
                <w:sz w:val="18"/>
                <w:szCs w:val="18"/>
              </w:rPr>
              <w:t xml:space="preserve"> </w:t>
            </w:r>
            <w:r w:rsidRPr="007028E2">
              <w:rPr>
                <w:rFonts w:cstheme="minorHAnsi"/>
                <w:sz w:val="18"/>
                <w:szCs w:val="18"/>
              </w:rPr>
              <w:t>baseline</w:t>
            </w:r>
            <w:r w:rsidR="00FA29A1" w:rsidRPr="007028E2">
              <w:rPr>
                <w:rFonts w:cstheme="minorHAnsi"/>
                <w:sz w:val="18"/>
                <w:szCs w:val="18"/>
              </w:rPr>
              <w:t xml:space="preserve"> </w:t>
            </w:r>
            <w:r w:rsidRPr="007028E2">
              <w:rPr>
                <w:rFonts w:cstheme="minorHAnsi"/>
                <w:sz w:val="18"/>
                <w:szCs w:val="18"/>
              </w:rPr>
              <w:t>surveys</w:t>
            </w:r>
          </w:p>
        </w:tc>
        <w:tc>
          <w:tcPr>
            <w:tcW w:w="2610" w:type="dxa"/>
          </w:tcPr>
          <w:p w14:paraId="069B96C0" w14:textId="77777777" w:rsidR="00536B63" w:rsidRPr="007028E2" w:rsidRDefault="00536B63" w:rsidP="00536B63">
            <w:pPr>
              <w:rPr>
                <w:sz w:val="18"/>
                <w:szCs w:val="18"/>
              </w:rPr>
            </w:pPr>
            <w:r w:rsidRPr="007028E2">
              <w:rPr>
                <w:sz w:val="18"/>
                <w:szCs w:val="18"/>
              </w:rPr>
              <w:t>Yes</w:t>
            </w:r>
          </w:p>
        </w:tc>
        <w:tc>
          <w:tcPr>
            <w:tcW w:w="2610" w:type="dxa"/>
          </w:tcPr>
          <w:p w14:paraId="19F307CA" w14:textId="77777777" w:rsidR="00536B63" w:rsidRPr="00DB4144" w:rsidRDefault="00536B63" w:rsidP="00536B63">
            <w:pPr>
              <w:autoSpaceDE w:val="0"/>
              <w:autoSpaceDN w:val="0"/>
              <w:adjustRightInd w:val="0"/>
              <w:rPr>
                <w:rFonts w:ascii="Calibri-Light" w:hAnsi="Calibri-Light" w:cs="Calibri-Light"/>
                <w:sz w:val="18"/>
                <w:szCs w:val="18"/>
              </w:rPr>
            </w:pPr>
            <w:r w:rsidRPr="00DB4144">
              <w:rPr>
                <w:rFonts w:ascii="Calibri-Light" w:hAnsi="Calibri-Light" w:cs="Calibri-Light"/>
                <w:sz w:val="18"/>
                <w:szCs w:val="18"/>
              </w:rPr>
              <w:t>Yes, subject to recalculation of</w:t>
            </w:r>
          </w:p>
          <w:p w14:paraId="1B7E812A" w14:textId="77777777" w:rsidR="00536B63" w:rsidRPr="00DB4144" w:rsidRDefault="00536B63" w:rsidP="00536B63">
            <w:pPr>
              <w:autoSpaceDE w:val="0"/>
              <w:autoSpaceDN w:val="0"/>
              <w:adjustRightInd w:val="0"/>
              <w:rPr>
                <w:rFonts w:ascii="Calibri-Light" w:hAnsi="Calibri-Light" w:cs="Calibri-Light"/>
                <w:sz w:val="18"/>
                <w:szCs w:val="18"/>
              </w:rPr>
            </w:pPr>
            <w:r w:rsidRPr="00DB4144">
              <w:rPr>
                <w:rFonts w:ascii="Calibri-Light" w:hAnsi="Calibri-Light" w:cs="Calibri-Light"/>
                <w:sz w:val="18"/>
                <w:szCs w:val="18"/>
              </w:rPr>
              <w:t>baseline to restrict to 6</w:t>
            </w:r>
          </w:p>
          <w:p w14:paraId="5F2DE53F" w14:textId="77777777" w:rsidR="00536B63" w:rsidRPr="007028E2" w:rsidRDefault="00536B63" w:rsidP="00536B63">
            <w:pPr>
              <w:rPr>
                <w:sz w:val="18"/>
                <w:szCs w:val="18"/>
              </w:rPr>
            </w:pPr>
            <w:r w:rsidRPr="00DB4144">
              <w:rPr>
                <w:rFonts w:ascii="Calibri-Light" w:hAnsi="Calibri-Light" w:cs="Calibri-Light"/>
                <w:sz w:val="18"/>
                <w:szCs w:val="18"/>
              </w:rPr>
              <w:t>indicators</w:t>
            </w:r>
          </w:p>
        </w:tc>
        <w:tc>
          <w:tcPr>
            <w:tcW w:w="2520" w:type="dxa"/>
          </w:tcPr>
          <w:p w14:paraId="7EC09C8A" w14:textId="77777777" w:rsidR="00536B63" w:rsidRPr="007028E2" w:rsidRDefault="00536B63" w:rsidP="00536B63">
            <w:pPr>
              <w:rPr>
                <w:sz w:val="18"/>
                <w:szCs w:val="18"/>
              </w:rPr>
            </w:pPr>
            <w:r w:rsidRPr="007028E2">
              <w:rPr>
                <w:sz w:val="18"/>
                <w:szCs w:val="18"/>
              </w:rPr>
              <w:t>No</w:t>
            </w:r>
          </w:p>
        </w:tc>
        <w:tc>
          <w:tcPr>
            <w:tcW w:w="2250" w:type="dxa"/>
          </w:tcPr>
          <w:p w14:paraId="3E426799" w14:textId="77777777" w:rsidR="00536B63" w:rsidRPr="007028E2" w:rsidRDefault="00536B63" w:rsidP="00536B63">
            <w:pPr>
              <w:rPr>
                <w:sz w:val="18"/>
                <w:szCs w:val="18"/>
              </w:rPr>
            </w:pPr>
            <w:r w:rsidRPr="007028E2">
              <w:rPr>
                <w:sz w:val="18"/>
                <w:szCs w:val="18"/>
              </w:rPr>
              <w:t>No</w:t>
            </w:r>
          </w:p>
        </w:tc>
        <w:tc>
          <w:tcPr>
            <w:tcW w:w="2425" w:type="dxa"/>
          </w:tcPr>
          <w:p w14:paraId="148D3007" w14:textId="77777777" w:rsidR="00536B63" w:rsidRPr="007028E2" w:rsidRDefault="00536B63" w:rsidP="00536B63">
            <w:pPr>
              <w:rPr>
                <w:sz w:val="18"/>
                <w:szCs w:val="18"/>
              </w:rPr>
            </w:pPr>
            <w:r w:rsidRPr="007028E2">
              <w:rPr>
                <w:sz w:val="18"/>
                <w:szCs w:val="18"/>
              </w:rPr>
              <w:t>No</w:t>
            </w:r>
          </w:p>
        </w:tc>
      </w:tr>
      <w:tr w:rsidR="00EC740E" w:rsidRPr="00536B63" w14:paraId="192A8433" w14:textId="77777777" w:rsidTr="007028E2">
        <w:trPr>
          <w:trHeight w:val="210"/>
        </w:trPr>
        <w:tc>
          <w:tcPr>
            <w:tcW w:w="1975" w:type="dxa"/>
          </w:tcPr>
          <w:p w14:paraId="28B1A32C" w14:textId="77777777" w:rsidR="00536B63" w:rsidRPr="007028E2" w:rsidRDefault="00536B63" w:rsidP="00536B63">
            <w:pPr>
              <w:autoSpaceDE w:val="0"/>
              <w:autoSpaceDN w:val="0"/>
              <w:adjustRightInd w:val="0"/>
              <w:rPr>
                <w:rFonts w:cstheme="minorHAnsi"/>
                <w:sz w:val="18"/>
                <w:szCs w:val="18"/>
              </w:rPr>
            </w:pPr>
            <w:r w:rsidRPr="007028E2">
              <w:rPr>
                <w:rFonts w:cstheme="minorHAnsi"/>
                <w:sz w:val="18"/>
                <w:szCs w:val="18"/>
              </w:rPr>
              <w:t>Can this be</w:t>
            </w:r>
          </w:p>
          <w:p w14:paraId="41CD9139" w14:textId="77777777" w:rsidR="00536B63" w:rsidRPr="007028E2" w:rsidRDefault="00536B63" w:rsidP="00536B63">
            <w:pPr>
              <w:autoSpaceDE w:val="0"/>
              <w:autoSpaceDN w:val="0"/>
              <w:adjustRightInd w:val="0"/>
              <w:rPr>
                <w:rFonts w:cstheme="minorHAnsi"/>
                <w:sz w:val="18"/>
                <w:szCs w:val="18"/>
              </w:rPr>
            </w:pPr>
            <w:r w:rsidRPr="007028E2">
              <w:rPr>
                <w:rFonts w:cstheme="minorHAnsi"/>
                <w:sz w:val="18"/>
                <w:szCs w:val="18"/>
              </w:rPr>
              <w:t>called WEAI?</w:t>
            </w:r>
          </w:p>
        </w:tc>
        <w:tc>
          <w:tcPr>
            <w:tcW w:w="2610" w:type="dxa"/>
          </w:tcPr>
          <w:p w14:paraId="06490111" w14:textId="77777777" w:rsidR="00536B63" w:rsidRPr="007028E2" w:rsidRDefault="003758F2" w:rsidP="00536B63">
            <w:pPr>
              <w:rPr>
                <w:sz w:val="18"/>
                <w:szCs w:val="18"/>
              </w:rPr>
            </w:pPr>
            <w:r w:rsidRPr="007028E2">
              <w:rPr>
                <w:sz w:val="18"/>
                <w:szCs w:val="18"/>
              </w:rPr>
              <w:t>Yes, WEAI or original WEAI</w:t>
            </w:r>
          </w:p>
        </w:tc>
        <w:tc>
          <w:tcPr>
            <w:tcW w:w="2610" w:type="dxa"/>
          </w:tcPr>
          <w:p w14:paraId="39BA95FC" w14:textId="77777777" w:rsidR="00536B63" w:rsidRPr="00DB4144" w:rsidRDefault="003758F2" w:rsidP="00536B63">
            <w:pPr>
              <w:autoSpaceDE w:val="0"/>
              <w:autoSpaceDN w:val="0"/>
              <w:adjustRightInd w:val="0"/>
              <w:rPr>
                <w:rFonts w:ascii="Calibri-Light" w:hAnsi="Calibri-Light" w:cs="Calibri-Light"/>
                <w:sz w:val="18"/>
                <w:szCs w:val="18"/>
              </w:rPr>
            </w:pPr>
            <w:r w:rsidRPr="00DB4144">
              <w:rPr>
                <w:rFonts w:ascii="Calibri-Light" w:hAnsi="Calibri-Light" w:cs="Calibri-Light"/>
                <w:sz w:val="18"/>
                <w:szCs w:val="18"/>
              </w:rPr>
              <w:t>Yes, A-WEAI</w:t>
            </w:r>
          </w:p>
        </w:tc>
        <w:tc>
          <w:tcPr>
            <w:tcW w:w="2520" w:type="dxa"/>
          </w:tcPr>
          <w:p w14:paraId="4618AFDA" w14:textId="77777777" w:rsidR="00536B63" w:rsidRPr="007028E2" w:rsidRDefault="003758F2" w:rsidP="00536B63">
            <w:pPr>
              <w:rPr>
                <w:sz w:val="18"/>
                <w:szCs w:val="18"/>
              </w:rPr>
            </w:pPr>
            <w:r w:rsidRPr="007028E2">
              <w:rPr>
                <w:sz w:val="18"/>
                <w:szCs w:val="18"/>
              </w:rPr>
              <w:t>Yes, pro-WEAI</w:t>
            </w:r>
          </w:p>
        </w:tc>
        <w:tc>
          <w:tcPr>
            <w:tcW w:w="2250" w:type="dxa"/>
          </w:tcPr>
          <w:p w14:paraId="3C1F06BA" w14:textId="2C967D7A" w:rsidR="00536B63" w:rsidRPr="00DB4144" w:rsidRDefault="007028E2" w:rsidP="00536B63">
            <w:pPr>
              <w:rPr>
                <w:sz w:val="18"/>
                <w:szCs w:val="18"/>
              </w:rPr>
            </w:pPr>
            <w:r w:rsidRPr="00DB4144">
              <w:rPr>
                <w:sz w:val="18"/>
                <w:szCs w:val="18"/>
              </w:rPr>
              <w:t>Yes (</w:t>
            </w:r>
            <w:r>
              <w:rPr>
                <w:sz w:val="18"/>
                <w:szCs w:val="18"/>
              </w:rPr>
              <w:t>u</w:t>
            </w:r>
            <w:r w:rsidR="00A84532" w:rsidRPr="00DB4144">
              <w:rPr>
                <w:sz w:val="18"/>
                <w:szCs w:val="18"/>
              </w:rPr>
              <w:t>nder development</w:t>
            </w:r>
            <w:r w:rsidRPr="00DB4144">
              <w:rPr>
                <w:sz w:val="18"/>
                <w:szCs w:val="18"/>
              </w:rPr>
              <w:t>)</w:t>
            </w:r>
          </w:p>
        </w:tc>
        <w:tc>
          <w:tcPr>
            <w:tcW w:w="2425" w:type="dxa"/>
          </w:tcPr>
          <w:p w14:paraId="0D51E0D2" w14:textId="77777777" w:rsidR="00536B63" w:rsidRPr="007028E2" w:rsidRDefault="003758F2" w:rsidP="00536B63">
            <w:pPr>
              <w:rPr>
                <w:sz w:val="18"/>
                <w:szCs w:val="18"/>
              </w:rPr>
            </w:pPr>
            <w:r w:rsidRPr="007028E2">
              <w:rPr>
                <w:sz w:val="18"/>
                <w:szCs w:val="18"/>
              </w:rPr>
              <w:t>No, “modified WEAI”</w:t>
            </w:r>
          </w:p>
        </w:tc>
      </w:tr>
    </w:tbl>
    <w:p w14:paraId="0F1E5CF1" w14:textId="77777777" w:rsidR="00FA29A1" w:rsidRDefault="00FA29A1" w:rsidP="00FA29A1">
      <w:pPr>
        <w:pStyle w:val="Footer"/>
        <w:rPr>
          <w:sz w:val="18"/>
        </w:rPr>
      </w:pPr>
    </w:p>
    <w:p w14:paraId="1AE036CF" w14:textId="77777777" w:rsidR="001D7D2C" w:rsidRPr="00A84532" w:rsidRDefault="00FA29A1" w:rsidP="00FA29A1">
      <w:pPr>
        <w:pStyle w:val="Footer"/>
        <w:rPr>
          <w:sz w:val="18"/>
        </w:rPr>
      </w:pPr>
      <w:r w:rsidRPr="00FA29A1">
        <w:rPr>
          <w:sz w:val="18"/>
        </w:rPr>
        <w:t xml:space="preserve">For any questions, please contact us through our </w:t>
      </w:r>
      <w:hyperlink r:id="rId7" w:history="1">
        <w:r w:rsidRPr="00FA29A1">
          <w:rPr>
            <w:rStyle w:val="Hyperlink"/>
            <w:sz w:val="18"/>
          </w:rPr>
          <w:t>webpage</w:t>
        </w:r>
      </w:hyperlink>
    </w:p>
    <w:sectPr w:rsidR="001D7D2C" w:rsidRPr="00A84532" w:rsidSect="00536B63">
      <w:head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55AB9" w14:textId="77777777" w:rsidR="00B3710C" w:rsidRDefault="00B3710C" w:rsidP="00A84532">
      <w:pPr>
        <w:spacing w:after="0" w:line="240" w:lineRule="auto"/>
      </w:pPr>
      <w:r>
        <w:separator/>
      </w:r>
    </w:p>
  </w:endnote>
  <w:endnote w:type="continuationSeparator" w:id="0">
    <w:p w14:paraId="3C27263D" w14:textId="77777777" w:rsidR="00B3710C" w:rsidRDefault="00B3710C" w:rsidP="00A84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Light">
    <w:altName w:val="Calibri"/>
    <w:panose1 w:val="00000000000000000000"/>
    <w:charset w:val="00"/>
    <w:family w:val="auto"/>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356C5" w14:textId="77777777" w:rsidR="00B3710C" w:rsidRDefault="00B3710C" w:rsidP="00A84532">
      <w:pPr>
        <w:spacing w:after="0" w:line="240" w:lineRule="auto"/>
      </w:pPr>
      <w:r>
        <w:separator/>
      </w:r>
    </w:p>
  </w:footnote>
  <w:footnote w:type="continuationSeparator" w:id="0">
    <w:p w14:paraId="59B7918F" w14:textId="77777777" w:rsidR="00B3710C" w:rsidRDefault="00B3710C" w:rsidP="00A84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7DFCA" w14:textId="0ED4A4AE" w:rsidR="00A84532" w:rsidRPr="00A84532" w:rsidRDefault="00FA29A1" w:rsidP="00FA29A1">
    <w:pPr>
      <w:pStyle w:val="Header"/>
      <w:rPr>
        <w:sz w:val="18"/>
      </w:rPr>
    </w:pPr>
    <w:r>
      <w:rPr>
        <w:b/>
        <w:sz w:val="18"/>
      </w:rPr>
      <w:t>WEAI VERSIONS TABLE</w:t>
    </w:r>
    <w:r>
      <w:rPr>
        <w:b/>
        <w:sz w:val="18"/>
      </w:rPr>
      <w:tab/>
    </w:r>
    <w:r>
      <w:rPr>
        <w:b/>
        <w:sz w:val="18"/>
      </w:rPr>
      <w:tab/>
    </w:r>
    <w:r>
      <w:rPr>
        <w:b/>
        <w:sz w:val="18"/>
      </w:rPr>
      <w:tab/>
    </w:r>
    <w:r>
      <w:rPr>
        <w:b/>
        <w:sz w:val="18"/>
      </w:rPr>
      <w:tab/>
    </w:r>
    <w:r>
      <w:rPr>
        <w:b/>
        <w:sz w:val="18"/>
      </w:rPr>
      <w:tab/>
    </w:r>
    <w:r w:rsidR="00A84532">
      <w:rPr>
        <w:sz w:val="18"/>
      </w:rPr>
      <w:t xml:space="preserve"> Updated </w:t>
    </w:r>
    <w:r w:rsidR="007436E2">
      <w:rPr>
        <w:sz w:val="18"/>
      </w:rPr>
      <w:t>November 13, 2020</w:t>
    </w:r>
  </w:p>
  <w:p w14:paraId="31813388" w14:textId="77777777" w:rsidR="00A84532" w:rsidRDefault="00A84532" w:rsidP="00A84532">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B63"/>
    <w:rsid w:val="000E3410"/>
    <w:rsid w:val="00172447"/>
    <w:rsid w:val="001D7D2C"/>
    <w:rsid w:val="003758F2"/>
    <w:rsid w:val="00503C5A"/>
    <w:rsid w:val="00536B63"/>
    <w:rsid w:val="007028E2"/>
    <w:rsid w:val="007436E2"/>
    <w:rsid w:val="008B0B23"/>
    <w:rsid w:val="009457A4"/>
    <w:rsid w:val="00A30865"/>
    <w:rsid w:val="00A808A4"/>
    <w:rsid w:val="00A83132"/>
    <w:rsid w:val="00A84532"/>
    <w:rsid w:val="00AA2E69"/>
    <w:rsid w:val="00B3710C"/>
    <w:rsid w:val="00C31711"/>
    <w:rsid w:val="00CF4A56"/>
    <w:rsid w:val="00D20A2B"/>
    <w:rsid w:val="00D27FB0"/>
    <w:rsid w:val="00D774B8"/>
    <w:rsid w:val="00DB4144"/>
    <w:rsid w:val="00DE28DB"/>
    <w:rsid w:val="00E81772"/>
    <w:rsid w:val="00EC740E"/>
    <w:rsid w:val="00FA29A1"/>
    <w:rsid w:val="00FD163F"/>
  </w:rsids>
  <m:mathPr>
    <m:mathFont m:val="Cambria Math"/>
    <m:brkBin m:val="before"/>
    <m:brkBinSub m:val="--"/>
    <m:smallFrac m:val="0"/>
    <m:dispDef/>
    <m:lMargin m:val="0"/>
    <m:rMargin m:val="0"/>
    <m:defJc m:val="centerGroup"/>
    <m:wrapIndent m:val="1440"/>
    <m:intLim m:val="subSup"/>
    <m:naryLim m:val="undOvr"/>
  </m:mathPr>
  <w:themeFontLang w:val="en-US" w:eastAsia="ko-KR"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264A6"/>
  <w15:chartTrackingRefBased/>
  <w15:docId w15:val="{54D3632D-FDBC-47A3-8F9A-A7DD49EFC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6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740E"/>
    <w:rPr>
      <w:color w:val="0563C1" w:themeColor="hyperlink"/>
      <w:u w:val="single"/>
    </w:rPr>
  </w:style>
  <w:style w:type="character" w:styleId="UnresolvedMention">
    <w:name w:val="Unresolved Mention"/>
    <w:basedOn w:val="DefaultParagraphFont"/>
    <w:uiPriority w:val="99"/>
    <w:semiHidden/>
    <w:unhideWhenUsed/>
    <w:rsid w:val="00EC740E"/>
    <w:rPr>
      <w:color w:val="605E5C"/>
      <w:shd w:val="clear" w:color="auto" w:fill="E1DFDD"/>
    </w:rPr>
  </w:style>
  <w:style w:type="paragraph" w:styleId="Header">
    <w:name w:val="header"/>
    <w:basedOn w:val="Normal"/>
    <w:link w:val="HeaderChar"/>
    <w:uiPriority w:val="99"/>
    <w:unhideWhenUsed/>
    <w:rsid w:val="00A84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532"/>
  </w:style>
  <w:style w:type="paragraph" w:styleId="Footer">
    <w:name w:val="footer"/>
    <w:basedOn w:val="Normal"/>
    <w:link w:val="FooterChar"/>
    <w:uiPriority w:val="99"/>
    <w:unhideWhenUsed/>
    <w:rsid w:val="00A84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532"/>
  </w:style>
  <w:style w:type="paragraph" w:styleId="BalloonText">
    <w:name w:val="Balloon Text"/>
    <w:basedOn w:val="Normal"/>
    <w:link w:val="BalloonTextChar"/>
    <w:uiPriority w:val="99"/>
    <w:semiHidden/>
    <w:unhideWhenUsed/>
    <w:rsid w:val="007028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8E2"/>
    <w:rPr>
      <w:rFonts w:ascii="Segoe UI" w:hAnsi="Segoe UI" w:cs="Segoe UI"/>
      <w:sz w:val="18"/>
      <w:szCs w:val="18"/>
    </w:rPr>
  </w:style>
  <w:style w:type="character" w:styleId="CommentReference">
    <w:name w:val="annotation reference"/>
    <w:basedOn w:val="DefaultParagraphFont"/>
    <w:uiPriority w:val="99"/>
    <w:semiHidden/>
    <w:unhideWhenUsed/>
    <w:rsid w:val="007028E2"/>
    <w:rPr>
      <w:sz w:val="16"/>
      <w:szCs w:val="16"/>
    </w:rPr>
  </w:style>
  <w:style w:type="paragraph" w:styleId="CommentText">
    <w:name w:val="annotation text"/>
    <w:basedOn w:val="Normal"/>
    <w:link w:val="CommentTextChar"/>
    <w:uiPriority w:val="99"/>
    <w:semiHidden/>
    <w:unhideWhenUsed/>
    <w:rsid w:val="007028E2"/>
    <w:pPr>
      <w:spacing w:line="240" w:lineRule="auto"/>
    </w:pPr>
    <w:rPr>
      <w:sz w:val="20"/>
      <w:szCs w:val="20"/>
    </w:rPr>
  </w:style>
  <w:style w:type="character" w:customStyle="1" w:styleId="CommentTextChar">
    <w:name w:val="Comment Text Char"/>
    <w:basedOn w:val="DefaultParagraphFont"/>
    <w:link w:val="CommentText"/>
    <w:uiPriority w:val="99"/>
    <w:semiHidden/>
    <w:rsid w:val="007028E2"/>
    <w:rPr>
      <w:sz w:val="20"/>
      <w:szCs w:val="20"/>
    </w:rPr>
  </w:style>
  <w:style w:type="paragraph" w:styleId="CommentSubject">
    <w:name w:val="annotation subject"/>
    <w:basedOn w:val="CommentText"/>
    <w:next w:val="CommentText"/>
    <w:link w:val="CommentSubjectChar"/>
    <w:uiPriority w:val="99"/>
    <w:semiHidden/>
    <w:unhideWhenUsed/>
    <w:rsid w:val="007028E2"/>
    <w:rPr>
      <w:b/>
      <w:bCs/>
    </w:rPr>
  </w:style>
  <w:style w:type="character" w:customStyle="1" w:styleId="CommentSubjectChar">
    <w:name w:val="Comment Subject Char"/>
    <w:basedOn w:val="CommentTextChar"/>
    <w:link w:val="CommentSubject"/>
    <w:uiPriority w:val="99"/>
    <w:semiHidden/>
    <w:rsid w:val="007028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eai.ifpri.info/about-weai/contact-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cedirect.com/science/article/pii/S0305750X1930170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Pereira, Audrey (IFPRI)</dc:creator>
  <cp:keywords/>
  <dc:description/>
  <cp:lastModifiedBy>Myers, Emily Camille (IFPRI)</cp:lastModifiedBy>
  <cp:revision>3</cp:revision>
  <dcterms:created xsi:type="dcterms:W3CDTF">2020-11-13T14:45:00Z</dcterms:created>
  <dcterms:modified xsi:type="dcterms:W3CDTF">2020-11-13T14:46:00Z</dcterms:modified>
</cp:coreProperties>
</file>